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1A331" w14:textId="082BBA94" w:rsidR="00392530" w:rsidRDefault="002A28E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bookmarkStart w:id="0" w:name="_Ref494746248"/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114-bis</w:t>
      </w:r>
      <w:r>
        <w:rPr>
          <w:b/>
          <w:i/>
          <w:sz w:val="22"/>
          <w:szCs w:val="22"/>
        </w:rPr>
        <w:tab/>
      </w:r>
      <w:r>
        <w:rPr>
          <w:b/>
          <w:sz w:val="22"/>
          <w:szCs w:val="22"/>
        </w:rPr>
        <w:t>R1-23</w:t>
      </w:r>
      <w:r>
        <w:rPr>
          <w:rFonts w:eastAsia="宋体" w:hint="eastAsia"/>
          <w:b/>
          <w:sz w:val="22"/>
          <w:szCs w:val="22"/>
          <w:lang w:val="en-US" w:eastAsia="zh-CN"/>
        </w:rPr>
        <w:t>09148</w:t>
      </w:r>
    </w:p>
    <w:p w14:paraId="142E68CB" w14:textId="0FE442F2" w:rsidR="00392530" w:rsidRDefault="002A28EE">
      <w:pPr>
        <w:pStyle w:val="af1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Xiamen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 w:rsidR="001858FC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China, </w:t>
      </w:r>
      <w:r w:rsidR="001858FC">
        <w:rPr>
          <w:rFonts w:ascii="Arial" w:eastAsia="MS Mincho" w:hAnsi="Arial" w:cs="Arial"/>
          <w:b/>
          <w:bCs/>
          <w:sz w:val="22"/>
          <w:szCs w:val="22"/>
          <w:lang w:eastAsia="ja-JP"/>
        </w:rPr>
        <w:t>October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 xml:space="preserve"> 9</w:t>
      </w:r>
      <w:r w:rsidR="001858FC"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="001858FC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 w:rsidR="001858FC">
        <w:rPr>
          <w:rFonts w:ascii="Arial" w:eastAsia="MS Mincho" w:hAnsi="Arial" w:cs="Arial"/>
          <w:b/>
          <w:bCs/>
          <w:sz w:val="22"/>
          <w:szCs w:val="22"/>
          <w:lang w:eastAsia="ja-JP"/>
        </w:rPr>
        <w:t>–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13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3</w:t>
      </w:r>
    </w:p>
    <w:p w14:paraId="5376ECFE" w14:textId="77777777" w:rsidR="00392530" w:rsidRDefault="00392530">
      <w:pPr>
        <w:tabs>
          <w:tab w:val="left" w:pos="1418"/>
        </w:tabs>
        <w:spacing w:after="0"/>
        <w:rPr>
          <w:rFonts w:ascii="Arial" w:hAnsi="Arial"/>
          <w:b/>
        </w:rPr>
      </w:pPr>
    </w:p>
    <w:p w14:paraId="146E9D6C" w14:textId="42E8E4BA" w:rsidR="00392530" w:rsidRDefault="002A28EE">
      <w:pPr>
        <w:tabs>
          <w:tab w:val="left" w:pos="1418"/>
        </w:tabs>
        <w:spacing w:after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 xml:space="preserve">Title </w:t>
      </w:r>
      <w:r>
        <w:rPr>
          <w:rFonts w:ascii="Arial" w:hAnsi="Arial"/>
          <w:b/>
        </w:rPr>
        <w:tab/>
        <w:t xml:space="preserve">:  </w:t>
      </w:r>
      <w:r>
        <w:rPr>
          <w:rFonts w:ascii="Arial" w:hAnsi="Arial" w:hint="eastAsia"/>
          <w:b/>
          <w:lang w:val="en-US" w:eastAsia="zh-CN"/>
        </w:rPr>
        <w:t>Remaining issue</w:t>
      </w:r>
      <w:r>
        <w:rPr>
          <w:rFonts w:ascii="Arial" w:hAnsi="Arial"/>
          <w:b/>
        </w:rPr>
        <w:t xml:space="preserve"> on </w:t>
      </w:r>
      <w:r>
        <w:rPr>
          <w:rFonts w:ascii="Arial" w:hAnsi="Arial" w:hint="eastAsia"/>
          <w:b/>
          <w:lang w:val="en-US" w:eastAsia="zh-CN"/>
        </w:rPr>
        <w:t>other aspects of NCR</w:t>
      </w:r>
    </w:p>
    <w:p w14:paraId="729A0735" w14:textId="77777777" w:rsidR="00392530" w:rsidRDefault="002A28EE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 </w:t>
      </w:r>
      <w:r>
        <w:rPr>
          <w:rFonts w:ascii="Arial" w:hAnsi="Arial"/>
          <w:b/>
        </w:rPr>
        <w:tab/>
        <w:t>:  ZTE</w:t>
      </w:r>
    </w:p>
    <w:p w14:paraId="1A136754" w14:textId="77777777" w:rsidR="00392530" w:rsidRDefault="002A28EE">
      <w:pPr>
        <w:tabs>
          <w:tab w:val="left" w:pos="1418"/>
        </w:tabs>
        <w:spacing w:after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</w:t>
      </w:r>
      <w:r>
        <w:rPr>
          <w:rFonts w:ascii="Arial" w:hAnsi="Arial"/>
          <w:b/>
        </w:rPr>
        <w:tab/>
        <w:t xml:space="preserve">:  </w:t>
      </w:r>
      <w:r>
        <w:rPr>
          <w:rFonts w:ascii="Arial" w:hAnsi="Arial" w:hint="eastAsia"/>
          <w:b/>
          <w:lang w:val="en-US" w:eastAsia="zh-CN"/>
        </w:rPr>
        <w:t>8.11.2</w:t>
      </w:r>
    </w:p>
    <w:p w14:paraId="756FCAB8" w14:textId="77777777" w:rsidR="00392530" w:rsidRDefault="002A28EE">
      <w:pPr>
        <w:tabs>
          <w:tab w:val="left" w:pos="1418"/>
        </w:tabs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:  Discussion</w:t>
      </w:r>
    </w:p>
    <w:p w14:paraId="5CC0E070" w14:textId="77777777" w:rsidR="00392530" w:rsidRDefault="002A28EE">
      <w:pPr>
        <w:pStyle w:val="1"/>
        <w:pBdr>
          <w:top w:val="single" w:sz="12" w:space="0" w:color="auto"/>
        </w:pBdr>
      </w:pPr>
      <w:bookmarkStart w:id="2" w:name="_Ref4817"/>
      <w:r>
        <w:t>Introduction</w:t>
      </w:r>
      <w:bookmarkEnd w:id="0"/>
      <w:bookmarkEnd w:id="2"/>
    </w:p>
    <w:p w14:paraId="6E6F2298" w14:textId="77777777" w:rsidR="00392530" w:rsidRDefault="002A28E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the remaining issues </w:t>
      </w:r>
      <w:r>
        <w:rPr>
          <w:rFonts w:hint="eastAsia"/>
          <w:lang w:val="en-US" w:eastAsia="zh-CN"/>
        </w:rPr>
        <w:t>on other aspects of NCR</w:t>
      </w:r>
      <w:r>
        <w:rPr>
          <w:rFonts w:hint="eastAsia"/>
          <w:lang w:val="en-US" w:eastAsia="zh-CN"/>
        </w:rPr>
        <w:t xml:space="preserve"> are discussed.</w:t>
      </w:r>
    </w:p>
    <w:p w14:paraId="634D3D39" w14:textId="77777777" w:rsidR="00392530" w:rsidRDefault="002A28EE">
      <w:pPr>
        <w:pStyle w:val="1"/>
        <w:pBdr>
          <w:top w:val="single" w:sz="12" w:space="0" w:color="auto"/>
        </w:pBdr>
      </w:pPr>
      <w:r>
        <w:rPr>
          <w:rFonts w:hint="eastAsia"/>
          <w:lang w:val="en-US" w:eastAsia="zh-CN"/>
        </w:rPr>
        <w:t>Discussion</w:t>
      </w:r>
    </w:p>
    <w:p w14:paraId="253296C4" w14:textId="77777777" w:rsidR="00392530" w:rsidRDefault="002A28EE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General behavior of NCR-MT</w:t>
      </w:r>
    </w:p>
    <w:p w14:paraId="20CE95A0" w14:textId="77777777" w:rsidR="00392530" w:rsidRDefault="002A28E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draft CR [1] of TS 38.213, editor has added a sentence saying </w:t>
      </w:r>
      <w:r>
        <w:rPr>
          <w:lang w:val="en-US" w:eastAsia="zh-CN"/>
        </w:rPr>
        <w:t xml:space="preserve">“Throughout this specification, unless otherwise </w:t>
      </w:r>
      <w:r>
        <w:rPr>
          <w:lang w:val="en-US" w:eastAsia="zh-CN"/>
        </w:rPr>
        <w:t>noted, statements using the term "UE" in Clauses 4 through 13 are equally applicable to the NCR-MT”</w:t>
      </w:r>
      <w:r>
        <w:rPr>
          <w:rFonts w:hint="eastAsia"/>
          <w:lang w:val="en-US" w:eastAsia="zh-CN"/>
        </w:rPr>
        <w:t>. This guarantees that the behavior of NCR-MT is same as legacy UE unless otherwise noted, which is the common understanding of NCR design during normative p</w:t>
      </w:r>
      <w:r>
        <w:rPr>
          <w:rFonts w:hint="eastAsia"/>
          <w:lang w:val="en-US" w:eastAsia="zh-CN"/>
        </w:rPr>
        <w:t>hase.</w:t>
      </w:r>
    </w:p>
    <w:tbl>
      <w:tblPr>
        <w:tblStyle w:val="afd"/>
        <w:tblW w:w="0" w:type="auto"/>
        <w:tblInd w:w="113" w:type="dxa"/>
        <w:tblLook w:val="04A0" w:firstRow="1" w:lastRow="0" w:firstColumn="1" w:lastColumn="0" w:noHBand="0" w:noVBand="1"/>
      </w:tblPr>
      <w:tblGrid>
        <w:gridCol w:w="9507"/>
      </w:tblGrid>
      <w:tr w:rsidR="00392530" w14:paraId="09D2F361" w14:textId="77777777">
        <w:tc>
          <w:tcPr>
            <w:tcW w:w="9507" w:type="dxa"/>
          </w:tcPr>
          <w:p w14:paraId="304EEC59" w14:textId="77777777" w:rsidR="00392530" w:rsidRDefault="002A28EE">
            <w:pPr>
              <w:tabs>
                <w:tab w:val="left" w:pos="840"/>
                <w:tab w:val="left" w:pos="1304"/>
                <w:tab w:val="left" w:pos="2160"/>
              </w:tabs>
              <w:rPr>
                <w:b/>
                <w:bCs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IAB-MT</w:t>
            </w:r>
          </w:p>
          <w:p w14:paraId="5ECDE846" w14:textId="77777777" w:rsidR="00392530" w:rsidRDefault="002A28EE">
            <w:pPr>
              <w:rPr>
                <w:b/>
                <w:bCs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u w:val="single"/>
                <w:lang w:val="en-US" w:eastAsia="zh-CN"/>
              </w:rPr>
              <w:t>TS 38.211</w:t>
            </w:r>
            <w:bookmarkStart w:id="3" w:name="_Toc29230246"/>
            <w:bookmarkStart w:id="4" w:name="_Toc45107344"/>
            <w:bookmarkStart w:id="5" w:name="_Toc51774013"/>
            <w:bookmarkStart w:id="6" w:name="_Toc36026505"/>
            <w:bookmarkStart w:id="7" w:name="_Toc106014702"/>
            <w:bookmarkStart w:id="8" w:name="_Toc26459602"/>
            <w:bookmarkStart w:id="9" w:name="_Toc19796376"/>
            <w:r>
              <w:rPr>
                <w:rFonts w:hint="eastAsia"/>
                <w:b/>
                <w:bCs/>
                <w:u w:val="single"/>
                <w:lang w:val="en-US" w:eastAsia="zh-CN"/>
              </w:rPr>
              <w:t xml:space="preserve"> </w:t>
            </w:r>
          </w:p>
          <w:p w14:paraId="1C54AC62" w14:textId="77777777" w:rsidR="00392530" w:rsidRDefault="002A28EE">
            <w:pPr>
              <w:rPr>
                <w:b/>
                <w:bCs/>
              </w:rPr>
            </w:pPr>
            <w:r>
              <w:rPr>
                <w:b/>
                <w:bCs/>
              </w:rPr>
              <w:t>4.1</w:t>
            </w:r>
            <w:r>
              <w:rPr>
                <w:b/>
                <w:bCs/>
              </w:rPr>
              <w:tab/>
              <w:t>General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7765F51A" w14:textId="77777777" w:rsidR="00392530" w:rsidRDefault="002A28EE">
            <w:r>
              <w:t xml:space="preserve">Throughout this specification, unless otherwise noted, the size of various fields in the time domain is expressed in time units </w:t>
            </w:r>
            <w:r>
              <w:rPr>
                <w:position w:val="-10"/>
              </w:rPr>
              <w:object w:dxaOrig="1575" w:dyaOrig="315" w14:anchorId="493EBE9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pt;height:16pt" o:ole="">
                  <v:imagedata r:id="rId7" o:title=""/>
                </v:shape>
                <o:OLEObject Type="Embed" ProgID="Equation.3" ShapeID="_x0000_i1025" DrawAspect="Content" ObjectID="_1757165173" r:id="rId8"/>
              </w:object>
            </w:r>
            <w:r>
              <w:t xml:space="preserve"> 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=480∙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>
              <w:t xml:space="preserve"> Hz and </w:t>
            </w:r>
            <w:r>
              <w:rPr>
                <w:position w:val="-10"/>
              </w:rPr>
              <w:object w:dxaOrig="915" w:dyaOrig="315" w14:anchorId="47EF4826">
                <v:shape id="_x0000_i1026" type="#_x0000_t75" style="width:46pt;height:16pt" o:ole="">
                  <v:imagedata r:id="rId9" o:title=""/>
                </v:shape>
                <o:OLEObject Type="Embed" ProgID="Equation.3" ShapeID="_x0000_i1026" DrawAspect="Content" ObjectID="_1757165174" r:id="rId10"/>
              </w:object>
            </w:r>
            <w:r>
              <w:t xml:space="preserve">. The constant </w:t>
            </w:r>
            <w:r>
              <w:rPr>
                <w:position w:val="-10"/>
              </w:rPr>
              <w:object w:dxaOrig="1260" w:dyaOrig="300" w14:anchorId="1A5B58E3">
                <v:shape id="_x0000_i1027" type="#_x0000_t75" style="width:63pt;height:15pt" o:ole="">
                  <v:imagedata r:id="rId11" o:title=""/>
                </v:shape>
                <o:OLEObject Type="Embed" ProgID="Equation.3" ShapeID="_x0000_i1027" DrawAspect="Content" ObjectID="_1757165175" r:id="rId12"/>
              </w:object>
            </w:r>
            <w:r>
              <w:t xml:space="preserve"> where </w:t>
            </w:r>
            <w:r>
              <w:rPr>
                <w:position w:val="-12"/>
              </w:rPr>
              <w:object w:dxaOrig="1680" w:dyaOrig="330" w14:anchorId="0C5ACA94">
                <v:shape id="_x0000_i1028" type="#_x0000_t75" style="width:84pt;height:16.5pt" o:ole="">
                  <v:imagedata r:id="rId13" o:title=""/>
                </v:shape>
                <o:OLEObject Type="Embed" ProgID="Equation.3" ShapeID="_x0000_i1028" DrawAspect="Content" ObjectID="_1757165176" r:id="rId14"/>
              </w:object>
            </w:r>
            <w:r>
              <w:t xml:space="preserve">, </w:t>
            </w:r>
            <w:r>
              <w:rPr>
                <w:position w:val="-10"/>
              </w:rPr>
              <w:object w:dxaOrig="1500" w:dyaOrig="345" w14:anchorId="7D3EE94A">
                <v:shape id="_x0000_i1029" type="#_x0000_t75" style="width:75pt;height:17.5pt" o:ole="">
                  <v:imagedata r:id="rId15" o:title=""/>
                </v:shape>
                <o:OLEObject Type="Embed" ProgID="Equation.3" ShapeID="_x0000_i1029" DrawAspect="Content" ObjectID="_1757165177" r:id="rId16"/>
              </w:object>
            </w:r>
            <w:r>
              <w:t xml:space="preserve"> and </w:t>
            </w:r>
            <w:r>
              <w:rPr>
                <w:position w:val="-12"/>
              </w:rPr>
              <w:object w:dxaOrig="1125" w:dyaOrig="315" w14:anchorId="7B81571C">
                <v:shape id="_x0000_i1030" type="#_x0000_t75" style="width:56.5pt;height:16pt" o:ole="">
                  <v:imagedata r:id="rId17" o:title=""/>
                </v:shape>
                <o:OLEObject Type="Embed" ProgID="Equation.3" ShapeID="_x0000_i1030" DrawAspect="Content" ObjectID="_1757165178" r:id="rId18"/>
              </w:object>
            </w:r>
            <w:r>
              <w:t>.</w:t>
            </w:r>
          </w:p>
          <w:p w14:paraId="5A7DC56B" w14:textId="77777777" w:rsidR="00392530" w:rsidRDefault="002A28EE">
            <w:pPr>
              <w:spacing w:after="0"/>
            </w:pPr>
            <w:r>
              <w:t xml:space="preserve">Throughout this specification, unless otherwise noted, statements using the term "UE" in clauses 4, 5, 6, or 7 are equally applicable to the </w:t>
            </w:r>
            <w:r>
              <w:rPr>
                <w:lang w:val="en-US"/>
              </w:rPr>
              <w:t xml:space="preserve">IAB-MT part </w:t>
            </w:r>
            <w:r>
              <w:rPr>
                <w:lang w:val="en-US"/>
              </w:rPr>
              <w:t>of an IAB-node</w:t>
            </w:r>
            <w:r>
              <w:t xml:space="preserve">. </w:t>
            </w:r>
          </w:p>
          <w:p w14:paraId="260B713D" w14:textId="77777777" w:rsidR="00392530" w:rsidRDefault="00392530">
            <w:pPr>
              <w:rPr>
                <w:lang w:val="en-US" w:eastAsia="zh-CN"/>
              </w:rPr>
            </w:pPr>
          </w:p>
          <w:p w14:paraId="2004030F" w14:textId="77777777" w:rsidR="00392530" w:rsidRDefault="002A28EE">
            <w:pPr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u w:val="single"/>
                <w:lang w:val="en-US" w:eastAsia="zh-CN"/>
              </w:rPr>
              <w:t xml:space="preserve">TS 38.213 </w:t>
            </w:r>
          </w:p>
          <w:p w14:paraId="54F61E61" w14:textId="77777777" w:rsidR="00392530" w:rsidRDefault="002A28EE">
            <w:pPr>
              <w:rPr>
                <w:b/>
                <w:bCs/>
              </w:rPr>
            </w:pPr>
            <w:bookmarkStart w:id="10" w:name="_Toc137056429"/>
            <w:bookmarkStart w:id="11" w:name="_Toc29899590"/>
            <w:bookmarkStart w:id="12" w:name="_Toc45699228"/>
            <w:bookmarkStart w:id="13" w:name="_Toc29917326"/>
            <w:bookmarkStart w:id="14" w:name="_Toc29894873"/>
            <w:bookmarkStart w:id="15" w:name="_Toc36498200"/>
            <w:bookmarkStart w:id="16" w:name="_Toc29899172"/>
            <w:r>
              <w:rPr>
                <w:b/>
                <w:bCs/>
              </w:rPr>
              <w:t>14</w:t>
            </w:r>
            <w:r>
              <w:rPr>
                <w:rFonts w:hint="eastAsia"/>
                <w:b/>
                <w:bCs/>
              </w:rPr>
              <w:tab/>
            </w:r>
            <w:r>
              <w:rPr>
                <w:b/>
                <w:bCs/>
              </w:rPr>
              <w:t>Integrated access-backhaul operation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r>
              <w:rPr>
                <w:b/>
                <w:bCs/>
              </w:rPr>
              <w:t xml:space="preserve"> </w:t>
            </w:r>
          </w:p>
          <w:p w14:paraId="00F85778" w14:textId="77777777" w:rsidR="00392530" w:rsidRDefault="002A28EE">
            <w:pPr>
              <w:rPr>
                <w:lang w:val="en-US"/>
              </w:rPr>
            </w:pPr>
            <w:r>
              <w:rPr>
                <w:lang w:val="en-US"/>
              </w:rPr>
              <w:t xml:space="preserve">Throughout this specification, unless otherwise noted, statements using the term "UE" in clauses 4 through 13 are equally applicable to the IAB-MT of an IAB node. </w:t>
            </w:r>
          </w:p>
          <w:p w14:paraId="52403D1B" w14:textId="77777777" w:rsidR="00392530" w:rsidRDefault="00392530">
            <w:pPr>
              <w:rPr>
                <w:lang w:val="en-US" w:eastAsia="zh-CN"/>
              </w:rPr>
            </w:pPr>
          </w:p>
          <w:p w14:paraId="05751C97" w14:textId="77777777" w:rsidR="00392530" w:rsidRDefault="002A28EE">
            <w:pPr>
              <w:rPr>
                <w:b/>
                <w:bCs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u w:val="single"/>
                <w:lang w:val="en-US" w:eastAsia="zh-CN"/>
              </w:rPr>
              <w:t>TS 38.214</w:t>
            </w:r>
          </w:p>
          <w:p w14:paraId="78D67B62" w14:textId="77777777" w:rsidR="00392530" w:rsidRDefault="002A28EE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Power control </w:t>
            </w:r>
          </w:p>
          <w:p w14:paraId="57485716" w14:textId="77777777" w:rsidR="00392530" w:rsidRDefault="002A28EE">
            <w:pPr>
              <w:rPr>
                <w:color w:val="000000"/>
              </w:rPr>
            </w:pPr>
            <w:r>
              <w:t xml:space="preserve">Throughout this specification, unless otherwise noted, statements using the term "UE" in clauses 4, 5, or 6 are equally applicable to the </w:t>
            </w:r>
            <w:r>
              <w:rPr>
                <w:lang w:val="en-US"/>
              </w:rPr>
              <w:t>IAB-MT part of an IAB node</w:t>
            </w:r>
            <w:r>
              <w:t>.</w:t>
            </w:r>
          </w:p>
          <w:p w14:paraId="0D41C3D5" w14:textId="77777777" w:rsidR="00392530" w:rsidRDefault="002A28EE">
            <w:pPr>
              <w:tabs>
                <w:tab w:val="left" w:pos="840"/>
                <w:tab w:val="left" w:pos="1304"/>
                <w:tab w:val="left" w:pos="2160"/>
              </w:tabs>
              <w:rPr>
                <w:b/>
                <w:bCs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NCR-MT</w:t>
            </w:r>
          </w:p>
          <w:p w14:paraId="2F0277E1" w14:textId="77777777" w:rsidR="00392530" w:rsidRDefault="002A28EE">
            <w:pPr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u w:val="single"/>
                <w:lang w:val="en-US" w:eastAsia="zh-CN"/>
              </w:rPr>
              <w:t xml:space="preserve">TS 38.213 </w:t>
            </w:r>
          </w:p>
          <w:p w14:paraId="0CBDC0BE" w14:textId="77777777" w:rsidR="00392530" w:rsidRDefault="002A28EE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>
              <w:rPr>
                <w:rFonts w:hint="eastAsia"/>
                <w:b/>
                <w:bCs/>
              </w:rPr>
              <w:tab/>
            </w:r>
            <w:r>
              <w:rPr>
                <w:b/>
                <w:bCs/>
              </w:rPr>
              <w:t>Network controlled repeater</w:t>
            </w:r>
          </w:p>
          <w:p w14:paraId="6697EFDE" w14:textId="77777777" w:rsidR="00392530" w:rsidRDefault="002A28EE">
            <w:pPr>
              <w:rPr>
                <w:rFonts w:eastAsia="Malgun Gothic" w:cs="Times"/>
              </w:rPr>
            </w:pPr>
            <w:r>
              <w:rPr>
                <w:rFonts w:eastAsia="Malgun Gothic" w:cs="Times"/>
              </w:rPr>
              <w:t>An NCR includes an NCR-MT entity and an NCR-</w:t>
            </w:r>
            <w:proofErr w:type="spellStart"/>
            <w:r>
              <w:rPr>
                <w:rFonts w:eastAsia="Malgun Gothic" w:cs="Times"/>
              </w:rPr>
              <w:t>Fwd</w:t>
            </w:r>
            <w:proofErr w:type="spellEnd"/>
            <w:r>
              <w:rPr>
                <w:rFonts w:eastAsia="Malgun Gothic" w:cs="Times"/>
              </w:rPr>
              <w:t xml:space="preserve"> entity [19, TS 38.300]. </w:t>
            </w:r>
          </w:p>
          <w:p w14:paraId="6DDA165A" w14:textId="77777777" w:rsidR="00392530" w:rsidRDefault="002A28EE">
            <w:pPr>
              <w:rPr>
                <w:lang w:val="en-US"/>
              </w:rPr>
            </w:pPr>
            <w:r>
              <w:rPr>
                <w:lang w:val="en-US"/>
              </w:rPr>
              <w:t xml:space="preserve">Throughout this specification, unless otherwise noted, statements using the term "UE" in Clauses 4 through 13 are equally applicable to the NCR-MT. </w:t>
            </w:r>
          </w:p>
          <w:p w14:paraId="62985A74" w14:textId="77777777" w:rsidR="00392530" w:rsidRDefault="00392530">
            <w:pPr>
              <w:tabs>
                <w:tab w:val="left" w:pos="840"/>
                <w:tab w:val="left" w:pos="1304"/>
                <w:tab w:val="left" w:pos="2160"/>
              </w:tabs>
              <w:rPr>
                <w:lang w:val="en-US" w:eastAsia="zh-CN"/>
              </w:rPr>
            </w:pPr>
          </w:p>
        </w:tc>
      </w:tr>
    </w:tbl>
    <w:p w14:paraId="7CCF7E8A" w14:textId="77777777" w:rsidR="00392530" w:rsidRDefault="00392530">
      <w:pPr>
        <w:rPr>
          <w:lang w:val="en-US" w:eastAsia="zh-CN"/>
        </w:rPr>
      </w:pPr>
    </w:p>
    <w:p w14:paraId="3F367E14" w14:textId="0ABEB366" w:rsidR="00392530" w:rsidRDefault="002A28EE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In addition, in TS 38.211, TS 3</w:t>
      </w:r>
      <w:r>
        <w:rPr>
          <w:rFonts w:hint="eastAsia"/>
          <w:lang w:val="en-US" w:eastAsia="zh-CN"/>
        </w:rPr>
        <w:t>8.213, TS 38.214, the same statement for IAB-MT exists in all these 3 specs, while for NCR-MT such statement only exists in TS 38.213. Following the same logic, the general behavior of NCR-MT should also be specified in TS 38.211 and TS 38.214 similar as I</w:t>
      </w:r>
      <w:r>
        <w:rPr>
          <w:rFonts w:hint="eastAsia"/>
          <w:lang w:val="en-US" w:eastAsia="zh-CN"/>
        </w:rPr>
        <w:t>AB-MT. The corresponding TP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shown in Appendix.</w:t>
      </w:r>
    </w:p>
    <w:p w14:paraId="288F882E" w14:textId="77777777" w:rsidR="00392530" w:rsidRDefault="002A28EE" w:rsidP="00F4622F">
      <w:pPr>
        <w:spacing w:before="120"/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1:</w:t>
      </w:r>
      <w:r>
        <w:rPr>
          <w:rFonts w:hint="eastAsia"/>
          <w:i/>
          <w:iCs/>
          <w:lang w:val="en-US" w:eastAsia="zh-CN"/>
        </w:rPr>
        <w:t xml:space="preserve"> Adopt TP#1 for TS 38.211 and TP#2 for TS 38.214 to define the general behavior of NCR-MT.</w:t>
      </w:r>
    </w:p>
    <w:p w14:paraId="58481BA1" w14:textId="77777777" w:rsidR="00392530" w:rsidRDefault="002A28EE">
      <w:pPr>
        <w:pStyle w:val="2"/>
        <w:rPr>
          <w:lang w:val="en-US"/>
        </w:rPr>
      </w:pPr>
      <w:r>
        <w:rPr>
          <w:rFonts w:hint="eastAsia"/>
          <w:lang w:val="en-US" w:eastAsia="zh-CN"/>
        </w:rPr>
        <w:t>Terminology alignment</w:t>
      </w:r>
    </w:p>
    <w:p w14:paraId="6158D29E" w14:textId="77777777" w:rsidR="00392530" w:rsidRDefault="002A28EE">
      <w:pPr>
        <w:rPr>
          <w:lang w:val="en-US"/>
        </w:rPr>
      </w:pPr>
      <w:r>
        <w:rPr>
          <w:rFonts w:hint="eastAsia"/>
          <w:iCs/>
          <w:lang w:val="en-US" w:eastAsia="zh-CN"/>
        </w:rPr>
        <w:t xml:space="preserve">In TS 38.213, the backhaul link beam determination is specified as </w:t>
      </w:r>
      <w:r>
        <w:rPr>
          <w:rFonts w:hint="eastAsia"/>
          <w:iCs/>
          <w:lang w:val="en-US" w:eastAsia="zh-CN"/>
        </w:rPr>
        <w:t>follows:</w:t>
      </w:r>
    </w:p>
    <w:tbl>
      <w:tblPr>
        <w:tblStyle w:val="afd"/>
        <w:tblW w:w="0" w:type="auto"/>
        <w:tblInd w:w="113" w:type="dxa"/>
        <w:tblLook w:val="04A0" w:firstRow="1" w:lastRow="0" w:firstColumn="1" w:lastColumn="0" w:noHBand="0" w:noVBand="1"/>
      </w:tblPr>
      <w:tblGrid>
        <w:gridCol w:w="9507"/>
      </w:tblGrid>
      <w:tr w:rsidR="00392530" w14:paraId="16778D43" w14:textId="77777777">
        <w:tc>
          <w:tcPr>
            <w:tcW w:w="9507" w:type="dxa"/>
          </w:tcPr>
          <w:p w14:paraId="2794DD27" w14:textId="77777777" w:rsidR="00392530" w:rsidRDefault="002A28EE">
            <w:pPr>
              <w:rPr>
                <w:iCs/>
              </w:rPr>
            </w:pPr>
            <w:r>
              <w:rPr>
                <w:iCs/>
              </w:rPr>
              <w:t>When the NCR does not simultaneously receive on the control link and the backhaul link</w:t>
            </w:r>
          </w:p>
          <w:p w14:paraId="14F4EE46" w14:textId="77777777" w:rsidR="00392530" w:rsidRDefault="002A28EE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the NCR does not su</w:t>
            </w:r>
            <w:r>
              <w:rPr>
                <w:lang w:eastAsia="ko-KR"/>
              </w:rPr>
              <w:t xml:space="preserve">pport determination of a TCI state for receptions on the backhaul link based on an indication of a TCI state by the serving cell, or if the </w:t>
            </w:r>
            <w:r>
              <w:rPr>
                <w:highlight w:val="yellow"/>
                <w:lang w:eastAsia="ko-KR"/>
              </w:rPr>
              <w:t>NCR</w:t>
            </w:r>
            <w:r>
              <w:rPr>
                <w:lang w:eastAsia="ko-KR"/>
              </w:rPr>
              <w:t xml:space="preserve"> does not receive an indication of a TCI state, for receptions on the b</w:t>
            </w:r>
            <w:r>
              <w:rPr>
                <w:lang w:eastAsia="ko-KR"/>
              </w:rPr>
              <w:t>ackhaul link [11, TS 38.321]</w:t>
            </w:r>
          </w:p>
          <w:p w14:paraId="1365A363" w14:textId="77777777" w:rsidR="00392530" w:rsidRDefault="002A28EE">
            <w:pPr>
              <w:pStyle w:val="B2"/>
              <w:rPr>
                <w:color w:val="000000"/>
                <w:lang w:eastAsia="zh-CN"/>
              </w:rPr>
            </w:pPr>
            <w:r>
              <w:t>-</w:t>
            </w:r>
            <w:r>
              <w:tab/>
              <w:t xml:space="preserve">if the </w:t>
            </w:r>
            <w:r>
              <w:rPr>
                <w:highlight w:val="yellow"/>
              </w:rPr>
              <w:t>NCR</w:t>
            </w:r>
            <w:r>
              <w:t xml:space="preserve"> </w:t>
            </w:r>
            <w:r>
              <w:rPr>
                <w:lang w:eastAsia="ko-KR"/>
              </w:rPr>
              <w:t>does not receive an indication of a unified TCI state for receptions by the NCR-MT, receptions on the backhaul link use same</w:t>
            </w:r>
            <w:r>
              <w:rPr>
                <w:color w:val="000000"/>
              </w:rPr>
              <w:t xml:space="preserve"> QCL parameters as the ones for PDCCH receptions in a CORESET with the </w:t>
            </w:r>
            <w:r w:rsidRPr="00F4622F">
              <w:rPr>
                <w:color w:val="000000"/>
                <w:highlight w:val="cyan"/>
              </w:rPr>
              <w:t xml:space="preserve">lowest </w:t>
            </w:r>
            <w:proofErr w:type="spellStart"/>
            <w:r>
              <w:rPr>
                <w:i/>
                <w:color w:val="000000"/>
              </w:rPr>
              <w:t>controlResourceSetId</w:t>
            </w:r>
            <w:proofErr w:type="spellEnd"/>
            <w:r>
              <w:rPr>
                <w:color w:val="000000"/>
              </w:rPr>
              <w:t xml:space="preserve"> </w:t>
            </w:r>
          </w:p>
          <w:p w14:paraId="3D39CA08" w14:textId="77777777" w:rsidR="00392530" w:rsidRDefault="002A28EE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>else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receptions on the backha</w:t>
            </w:r>
            <w:r>
              <w:rPr>
                <w:lang w:eastAsia="ko-KR"/>
              </w:rPr>
              <w:t>ul link use</w:t>
            </w:r>
            <w:r>
              <w:rPr>
                <w:color w:val="000000"/>
              </w:rPr>
              <w:t xml:space="preserve"> the QCL parameters provided by an indicated</w:t>
            </w:r>
            <w:r>
              <w:rPr>
                <w:lang w:eastAsia="ko-KR"/>
              </w:rPr>
              <w:t xml:space="preserve"> unified </w:t>
            </w:r>
            <w:r>
              <w:rPr>
                <w:color w:val="000000"/>
              </w:rPr>
              <w:t>TCI state</w:t>
            </w:r>
            <w:r>
              <w:rPr>
                <w:lang w:eastAsia="ko-KR"/>
              </w:rPr>
              <w:t xml:space="preserve"> for receptions by the NCR-MT</w:t>
            </w:r>
            <w:r>
              <w:rPr>
                <w:color w:val="000000"/>
              </w:rPr>
              <w:t xml:space="preserve"> </w:t>
            </w:r>
          </w:p>
          <w:p w14:paraId="6D08702B" w14:textId="77777777" w:rsidR="00392530" w:rsidRDefault="002A28EE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>else</w:t>
            </w:r>
            <w:r>
              <w:rPr>
                <w:lang w:eastAsia="ko-KR"/>
              </w:rPr>
              <w:t xml:space="preserve"> receptions on the backhaul link use QCL parameters provided by a TCI state in a M</w:t>
            </w:r>
            <w:r>
              <w:rPr>
                <w:lang w:eastAsia="ko-KR"/>
              </w:rPr>
              <w:t>AC CE [11, TS 38.321].</w:t>
            </w:r>
          </w:p>
          <w:p w14:paraId="77C40499" w14:textId="77777777" w:rsidR="00392530" w:rsidRDefault="002A28EE">
            <w:pPr>
              <w:rPr>
                <w:iCs/>
              </w:rPr>
            </w:pPr>
            <w:r>
              <w:rPr>
                <w:iCs/>
              </w:rPr>
              <w:t>When the NCR does not simultaneously tran</w:t>
            </w:r>
            <w:r>
              <w:rPr>
                <w:iCs/>
              </w:rPr>
              <w:t>smit on the control link and the backhaul link</w:t>
            </w:r>
          </w:p>
          <w:p w14:paraId="35F15FD6" w14:textId="2B619629" w:rsidR="00392530" w:rsidRDefault="002A28EE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eastAsia="ko-KR"/>
              </w:rPr>
              <w:t>the NCR doe</w:t>
            </w:r>
            <w:r>
              <w:rPr>
                <w:lang w:eastAsia="ko-KR"/>
              </w:rPr>
              <w:t xml:space="preserve">s not support determination of a spatial filter for transmissions on the backhaul link based on an indication of a unified TCI state or SRI by the serving cell, or if the </w:t>
            </w:r>
            <w:r>
              <w:rPr>
                <w:highlight w:val="yellow"/>
                <w:lang w:eastAsia="ko-KR"/>
              </w:rPr>
              <w:t>NCR-MT</w:t>
            </w:r>
            <w:r>
              <w:rPr>
                <w:lang w:eastAsia="ko-KR"/>
              </w:rPr>
              <w:t xml:space="preserve"> does not receiv</w:t>
            </w:r>
            <w:r>
              <w:rPr>
                <w:lang w:eastAsia="ko-KR"/>
              </w:rPr>
              <w:t>e an indication of a unified TCI state or SRI for determining a spatial filter, for transmissions on the backhaul link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157A7126" w14:textId="59CA76D0" w:rsidR="00392530" w:rsidRDefault="002A28EE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 xml:space="preserve">if the </w:t>
            </w:r>
            <w:r>
              <w:rPr>
                <w:highlight w:val="yellow"/>
              </w:rPr>
              <w:t>NCR</w:t>
            </w:r>
            <w:r>
              <w:t xml:space="preserve"> </w:t>
            </w:r>
            <w:r>
              <w:rPr>
                <w:lang w:eastAsia="ko-KR"/>
              </w:rPr>
              <w:t>does not receive an indication of a unified TCI state for transmissions by the NCR-MT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transmissions o</w:t>
            </w:r>
            <w:r>
              <w:rPr>
                <w:lang w:eastAsia="ko-KR"/>
              </w:rPr>
              <w:t>n the backhaul link use a same</w:t>
            </w:r>
            <w:r>
              <w:rPr>
                <w:color w:val="000000"/>
              </w:rPr>
              <w:t xml:space="preserve"> spatial filter as the one associated with the PUCCH resource with the </w:t>
            </w:r>
            <w:r w:rsidRPr="00F4622F">
              <w:rPr>
                <w:color w:val="000000"/>
                <w:highlight w:val="cyan"/>
              </w:rPr>
              <w:t>smallest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i/>
              </w:rPr>
              <w:t>pucch-ResourceId</w:t>
            </w:r>
            <w:proofErr w:type="spellEnd"/>
            <w:r>
              <w:t xml:space="preserve"> in </w:t>
            </w:r>
            <w:r>
              <w:rPr>
                <w:i/>
              </w:rPr>
              <w:t>PUCCH-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t xml:space="preserve"> </w:t>
            </w:r>
          </w:p>
          <w:p w14:paraId="5190A3C4" w14:textId="77777777" w:rsidR="00392530" w:rsidRDefault="002A28EE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>else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transmissions on the backhaul link use</w:t>
            </w:r>
            <w:r>
              <w:rPr>
                <w:color w:val="000000"/>
              </w:rPr>
              <w:t xml:space="preserve"> a spatial filter corresponding to an indicated</w:t>
            </w:r>
            <w:r>
              <w:rPr>
                <w:lang w:eastAsia="ko-KR"/>
              </w:rPr>
              <w:t xml:space="preserve"> unified </w:t>
            </w:r>
            <w:r>
              <w:rPr>
                <w:color w:val="000000"/>
              </w:rPr>
              <w:t xml:space="preserve">TCI state for transmissions by the NCR-MT. </w:t>
            </w:r>
          </w:p>
          <w:p w14:paraId="34E76A0D" w14:textId="77777777" w:rsidR="00392530" w:rsidRDefault="002A28EE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>else</w:t>
            </w:r>
            <w:r>
              <w:rPr>
                <w:lang w:eastAsia="ko-KR"/>
              </w:rPr>
              <w:t xml:space="preserve"> transmissions on the backhaul link use a spatial filter corresponding to a unified TCI state or SRI provided by</w:t>
            </w:r>
            <w:r>
              <w:rPr>
                <w:lang w:eastAsia="ko-KR"/>
              </w:rPr>
              <w:t xml:space="preserve"> a MAC CE [11, TS 38.321].</w:t>
            </w:r>
          </w:p>
          <w:p w14:paraId="2CDC3204" w14:textId="77777777" w:rsidR="00392530" w:rsidRDefault="00392530">
            <w:pPr>
              <w:tabs>
                <w:tab w:val="left" w:pos="840"/>
                <w:tab w:val="left" w:pos="1304"/>
                <w:tab w:val="left" w:pos="2160"/>
              </w:tabs>
              <w:rPr>
                <w:lang w:eastAsia="zh-CN"/>
              </w:rPr>
            </w:pPr>
          </w:p>
        </w:tc>
      </w:tr>
    </w:tbl>
    <w:p w14:paraId="6BF7E728" w14:textId="78195CBA" w:rsidR="00392530" w:rsidRDefault="002A28EE" w:rsidP="00F4622F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the above description, there are </w:t>
      </w:r>
      <w:r w:rsidR="007B1683">
        <w:rPr>
          <w:rFonts w:hint="eastAsia"/>
          <w:lang w:val="en-US" w:eastAsia="zh-CN"/>
        </w:rPr>
        <w:t>several</w:t>
      </w:r>
      <w:r w:rsidR="007B168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places mentioning that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NCR does not receive an indication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but in one place editor uses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NCR-MT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instead of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NCR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. Although it seems equally for usage of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NCR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or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NCR-MT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better to align the terminology to avoid giving the impression that the intention of using different terminologies is for different purposes. </w:t>
      </w:r>
      <w:r>
        <w:rPr>
          <w:rFonts w:hint="eastAsia"/>
          <w:lang w:val="en-US" w:eastAsia="zh-CN"/>
        </w:rPr>
        <w:t xml:space="preserve">In addition, </w:t>
      </w:r>
      <w:r>
        <w:rPr>
          <w:rFonts w:hint="eastAsia"/>
          <w:lang w:val="en-US" w:eastAsia="zh-CN"/>
        </w:rPr>
        <w:t xml:space="preserve">the RAN1 specs usually use the term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lowest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instead of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smallest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for PUCCH ID, this can also be </w:t>
      </w:r>
      <w:r>
        <w:rPr>
          <w:rFonts w:hint="eastAsia"/>
          <w:lang w:val="en-US" w:eastAsia="zh-CN"/>
        </w:rPr>
        <w:t>r</w:t>
      </w:r>
      <w:r>
        <w:rPr>
          <w:rFonts w:hint="eastAsia"/>
          <w:lang w:val="en-US" w:eastAsia="zh-CN"/>
        </w:rPr>
        <w:t>evised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corresponding TP is shown in Appendix.</w:t>
      </w:r>
    </w:p>
    <w:p w14:paraId="64B0DD1C" w14:textId="77777777" w:rsidR="00392530" w:rsidRDefault="002A28EE" w:rsidP="00F4622F">
      <w:pPr>
        <w:spacing w:before="120"/>
      </w:pPr>
      <w:r>
        <w:rPr>
          <w:rFonts w:hint="eastAsia"/>
          <w:b/>
          <w:bCs/>
          <w:i/>
          <w:iCs/>
          <w:lang w:val="en-US" w:eastAsia="zh-CN"/>
        </w:rPr>
        <w:t>Proposal 2:</w:t>
      </w:r>
      <w:r>
        <w:rPr>
          <w:rFonts w:hint="eastAsia"/>
          <w:i/>
          <w:iCs/>
          <w:lang w:val="en-US" w:eastAsia="zh-CN"/>
        </w:rPr>
        <w:t xml:space="preserve"> Adopt TP#3 for TS 38.213 to align the terminologies.</w:t>
      </w:r>
    </w:p>
    <w:p w14:paraId="0279874D" w14:textId="77777777" w:rsidR="00392530" w:rsidRDefault="002A28EE">
      <w:pPr>
        <w:pStyle w:val="2"/>
        <w:rPr>
          <w:lang w:val="en-US"/>
        </w:rPr>
      </w:pPr>
      <w:r>
        <w:rPr>
          <w:rFonts w:hint="eastAsia"/>
          <w:lang w:val="en-US" w:eastAsia="zh-CN"/>
        </w:rPr>
        <w:t>RRC parameter alignment</w:t>
      </w:r>
    </w:p>
    <w:p w14:paraId="0B484C80" w14:textId="77777777" w:rsidR="00392530" w:rsidRDefault="002A28EE">
      <w:pPr>
        <w:rPr>
          <w:lang w:val="en-US" w:eastAsia="zh-CN"/>
        </w:rPr>
      </w:pPr>
      <w:r>
        <w:rPr>
          <w:rFonts w:hint="eastAsia"/>
          <w:lang w:val="en-US" w:eastAsia="zh-CN"/>
        </w:rPr>
        <w:t>In the draft CR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[1][2] of TS 38.212 and TS 38.213, the RRC parameter names are referring to the endorsed RAN1 RRC </w:t>
      </w:r>
      <w:r>
        <w:rPr>
          <w:rFonts w:hint="eastAsia"/>
          <w:lang w:val="en-US" w:eastAsia="zh-CN"/>
        </w:rPr>
        <w:t>parameter list [3] sent to RAN2, however, in the latest RAN2 draft CR [4] of TS 38.331, the RRC parameter names have been updated which results in parameter name misalignment between RAN1 and RAN2 specs.</w:t>
      </w:r>
      <w:r>
        <w:rPr>
          <w:rFonts w:hint="eastAsia"/>
          <w:lang w:val="en-US" w:eastAsia="zh-CN"/>
        </w:rPr>
        <w:t xml:space="preserve"> For example, </w:t>
      </w:r>
      <w:proofErr w:type="spellStart"/>
      <w:r>
        <w:rPr>
          <w:rFonts w:hint="eastAsia"/>
          <w:i/>
          <w:iCs/>
          <w:lang w:val="en-US" w:eastAsia="zh-CN"/>
        </w:rPr>
        <w:t>ncr-PeriodicFwdResourceSetToAddModList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has been changed to </w:t>
      </w:r>
      <w:r>
        <w:rPr>
          <w:rFonts w:hint="eastAsia"/>
          <w:i/>
          <w:iCs/>
          <w:lang w:val="en-US" w:eastAsia="zh-CN"/>
        </w:rPr>
        <w:t>periodicFwdRsrcToAdddModList-r18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i/>
          <w:iCs/>
          <w:lang w:val="en-US" w:eastAsia="zh-CN"/>
        </w:rPr>
        <w:t>ncr-SemiPersistentFwdResourceSetId</w:t>
      </w:r>
      <w:proofErr w:type="spellEnd"/>
      <w:r>
        <w:rPr>
          <w:rFonts w:hint="eastAsia"/>
          <w:lang w:val="en-US" w:eastAsia="zh-CN"/>
        </w:rPr>
        <w:t xml:space="preserve"> has been changed to </w:t>
      </w:r>
      <w:r>
        <w:rPr>
          <w:rFonts w:hint="eastAsia"/>
          <w:i/>
          <w:iCs/>
          <w:lang w:val="en-US" w:eastAsia="zh-CN"/>
        </w:rPr>
        <w:t>semiPersistentFwdRsrcSetId-r18</w:t>
      </w:r>
      <w:r>
        <w:rPr>
          <w:rFonts w:hint="eastAsia"/>
          <w:lang w:val="en-US" w:eastAsia="zh-CN"/>
        </w:rPr>
        <w:t>.</w:t>
      </w:r>
    </w:p>
    <w:p w14:paraId="6FAB6E77" w14:textId="77777777" w:rsidR="00392530" w:rsidRDefault="002A28EE">
      <w:pPr>
        <w:rPr>
          <w:lang w:val="en-US" w:eastAsia="zh-CN"/>
        </w:rPr>
      </w:pPr>
      <w:r>
        <w:rPr>
          <w:rFonts w:hint="eastAsia"/>
          <w:lang w:val="en-US" w:eastAsia="zh-CN"/>
        </w:rPr>
        <w:t>According to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guidance, it should also be noted that RRC parameters with names introduced for the first time in Rel-18, the suffix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-r18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does not exist in RAN1 specs. In addition, considering that the RAN2 CR hasn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been formally approved in the RAN#101, it can be up</w:t>
      </w:r>
      <w:r>
        <w:rPr>
          <w:rFonts w:hint="eastAsia"/>
          <w:lang w:val="en-US" w:eastAsia="zh-CN"/>
        </w:rPr>
        <w:t xml:space="preserve"> to RAN1 editors when and how to resolve the parameter misalignment issue.</w:t>
      </w:r>
    </w:p>
    <w:p w14:paraId="1EB9C342" w14:textId="77777777" w:rsidR="00392530" w:rsidRDefault="002A28EE">
      <w:pPr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3:</w:t>
      </w:r>
      <w:r>
        <w:rPr>
          <w:rFonts w:hint="eastAsia"/>
          <w:i/>
          <w:iCs/>
          <w:lang w:val="en-US" w:eastAsia="zh-CN"/>
        </w:rPr>
        <w:t xml:space="preserve"> It</w:t>
      </w:r>
      <w:r>
        <w:rPr>
          <w:i/>
          <w:iCs/>
          <w:lang w:val="en-US" w:eastAsia="zh-CN"/>
        </w:rPr>
        <w:t>’</w:t>
      </w:r>
      <w:r>
        <w:rPr>
          <w:rFonts w:hint="eastAsia"/>
          <w:i/>
          <w:iCs/>
          <w:lang w:val="en-US" w:eastAsia="zh-CN"/>
        </w:rPr>
        <w:t>s up to RAN1 editors to resolve the higher layer parameter name misalignment between RAN1 and RAN2 specs.</w:t>
      </w:r>
    </w:p>
    <w:p w14:paraId="5784853B" w14:textId="77777777" w:rsidR="00392530" w:rsidRDefault="002A28EE">
      <w:pPr>
        <w:pStyle w:val="1"/>
        <w:pBdr>
          <w:top w:val="single" w:sz="12" w:space="0" w:color="auto"/>
        </w:pBdr>
      </w:pPr>
      <w:r>
        <w:rPr>
          <w:rFonts w:hint="eastAsia"/>
        </w:rPr>
        <w:lastRenderedPageBreak/>
        <w:t>C</w:t>
      </w:r>
      <w:r>
        <w:t>onclusion</w:t>
      </w:r>
    </w:p>
    <w:p w14:paraId="11F80280" w14:textId="77777777" w:rsidR="00392530" w:rsidRDefault="002A28EE">
      <w:pPr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provide our analysis and</w:t>
      </w:r>
      <w:r>
        <w:rPr>
          <w:lang w:eastAsia="zh-CN"/>
        </w:rPr>
        <w:t xml:space="preserve"> proposals for </w:t>
      </w:r>
      <w:r>
        <w:rPr>
          <w:rFonts w:hint="eastAsia"/>
          <w:lang w:val="en-US" w:eastAsia="zh-CN"/>
        </w:rPr>
        <w:t>remaining issues for other aspects of NCR.</w:t>
      </w:r>
    </w:p>
    <w:p w14:paraId="7284A8B6" w14:textId="77777777" w:rsidR="00392530" w:rsidRDefault="002A28EE">
      <w:pPr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1:</w:t>
      </w:r>
      <w:r>
        <w:rPr>
          <w:rFonts w:hint="eastAsia"/>
          <w:i/>
          <w:iCs/>
          <w:lang w:val="en-US" w:eastAsia="zh-CN"/>
        </w:rPr>
        <w:t xml:space="preserve"> Adopt TP#1 for TS 38.211 and TP#2 for TS 38.214 to define the general behavior of NCR-MT.</w:t>
      </w:r>
    </w:p>
    <w:p w14:paraId="66494181" w14:textId="77777777" w:rsidR="00392530" w:rsidRDefault="002A28EE">
      <w:r>
        <w:rPr>
          <w:rFonts w:hint="eastAsia"/>
          <w:b/>
          <w:bCs/>
          <w:i/>
          <w:iCs/>
          <w:lang w:val="en-US" w:eastAsia="zh-CN"/>
        </w:rPr>
        <w:t>Proposal 2:</w:t>
      </w:r>
      <w:r>
        <w:rPr>
          <w:rFonts w:hint="eastAsia"/>
          <w:i/>
          <w:iCs/>
          <w:lang w:val="en-US" w:eastAsia="zh-CN"/>
        </w:rPr>
        <w:t xml:space="preserve"> Adopt TP#3 for TS 38.213 to align the terminologies.</w:t>
      </w:r>
    </w:p>
    <w:p w14:paraId="2362E794" w14:textId="77777777" w:rsidR="00392530" w:rsidRDefault="002A28EE">
      <w:pPr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3:</w:t>
      </w:r>
      <w:r>
        <w:rPr>
          <w:rFonts w:hint="eastAsia"/>
          <w:i/>
          <w:iCs/>
          <w:lang w:val="en-US" w:eastAsia="zh-CN"/>
        </w:rPr>
        <w:t xml:space="preserve"> It</w:t>
      </w:r>
      <w:r>
        <w:rPr>
          <w:i/>
          <w:iCs/>
          <w:lang w:val="en-US" w:eastAsia="zh-CN"/>
        </w:rPr>
        <w:t>’</w:t>
      </w:r>
      <w:r>
        <w:rPr>
          <w:rFonts w:hint="eastAsia"/>
          <w:i/>
          <w:iCs/>
          <w:lang w:val="en-US" w:eastAsia="zh-CN"/>
        </w:rPr>
        <w:t>s up to RAN1 edi</w:t>
      </w:r>
      <w:r>
        <w:rPr>
          <w:rFonts w:hint="eastAsia"/>
          <w:i/>
          <w:iCs/>
          <w:lang w:val="en-US" w:eastAsia="zh-CN"/>
        </w:rPr>
        <w:t>tors to resolve the higher layer parameter name misalignment between RAN1 and RAN2 specs.</w:t>
      </w:r>
    </w:p>
    <w:p w14:paraId="4C684087" w14:textId="77777777" w:rsidR="00392530" w:rsidRDefault="002A28EE">
      <w:pPr>
        <w:pStyle w:val="1"/>
        <w:pBdr>
          <w:top w:val="single" w:sz="12" w:space="0" w:color="auto"/>
        </w:pBdr>
      </w:pPr>
      <w:r>
        <w:rPr>
          <w:rFonts w:hint="eastAsia"/>
        </w:rPr>
        <w:t>R</w:t>
      </w:r>
      <w:r>
        <w:t>eference</w:t>
      </w:r>
    </w:p>
    <w:p w14:paraId="5680618B" w14:textId="77777777" w:rsidR="00392530" w:rsidRDefault="002A28EE">
      <w:pPr>
        <w:pStyle w:val="aff5"/>
        <w:numPr>
          <w:ilvl w:val="0"/>
          <w:numId w:val="14"/>
        </w:numPr>
        <w:snapToGrid/>
        <w:spacing w:line="259" w:lineRule="auto"/>
      </w:pPr>
      <w:r>
        <w:rPr>
          <w:rFonts w:hint="eastAsia"/>
        </w:rPr>
        <w:t>R1-</w:t>
      </w:r>
      <w:r>
        <w:rPr>
          <w:rFonts w:hint="eastAsia"/>
          <w:lang w:val="en-US" w:eastAsia="zh-CN"/>
        </w:rPr>
        <w:t>2308700 Introduction of Network Controlled Repeaters - NR_NCR-</w:t>
      </w:r>
      <w:proofErr w:type="gramStart"/>
      <w:r>
        <w:rPr>
          <w:rFonts w:hint="eastAsia"/>
          <w:lang w:val="en-US" w:eastAsia="zh-CN"/>
        </w:rPr>
        <w:t>Core  Samsung</w:t>
      </w:r>
      <w:proofErr w:type="gramEnd"/>
    </w:p>
    <w:p w14:paraId="162AFDEC" w14:textId="77777777" w:rsidR="00392530" w:rsidRDefault="002A28EE">
      <w:pPr>
        <w:pStyle w:val="aff5"/>
        <w:numPr>
          <w:ilvl w:val="0"/>
          <w:numId w:val="14"/>
        </w:numPr>
        <w:snapToGrid/>
        <w:spacing w:line="259" w:lineRule="auto"/>
      </w:pPr>
      <w:r>
        <w:rPr>
          <w:rFonts w:hint="eastAsia"/>
          <w:lang w:val="en-US" w:eastAsia="zh-CN"/>
        </w:rPr>
        <w:t xml:space="preserve">R1-2308726 Introduction of Rel-18 network controlled </w:t>
      </w:r>
      <w:proofErr w:type="gramStart"/>
      <w:r>
        <w:rPr>
          <w:rFonts w:hint="eastAsia"/>
          <w:lang w:val="en-US" w:eastAsia="zh-CN"/>
        </w:rPr>
        <w:t>repeaters  Huawei</w:t>
      </w:r>
      <w:proofErr w:type="gramEnd"/>
    </w:p>
    <w:p w14:paraId="0A5BF3D8" w14:textId="77777777" w:rsidR="00392530" w:rsidRDefault="002A28EE">
      <w:pPr>
        <w:pStyle w:val="aff5"/>
        <w:numPr>
          <w:ilvl w:val="0"/>
          <w:numId w:val="14"/>
        </w:numPr>
        <w:snapToGrid/>
        <w:spacing w:line="259" w:lineRule="auto"/>
      </w:pPr>
      <w:r>
        <w:t>R1-23</w:t>
      </w:r>
      <w:r>
        <w:t>08672</w:t>
      </w:r>
      <w:r>
        <w:rPr>
          <w:rFonts w:hint="eastAsia"/>
          <w:lang w:val="en-US" w:eastAsia="zh-CN"/>
        </w:rPr>
        <w:t xml:space="preserve"> Consolidated higher layers parameter list for Rel-</w:t>
      </w:r>
      <w:proofErr w:type="gramStart"/>
      <w:r>
        <w:rPr>
          <w:rFonts w:hint="eastAsia"/>
          <w:lang w:val="en-US" w:eastAsia="zh-CN"/>
        </w:rPr>
        <w:t>18  Moderator</w:t>
      </w:r>
      <w:proofErr w:type="gramEnd"/>
      <w:r>
        <w:rPr>
          <w:rFonts w:hint="eastAsia"/>
          <w:lang w:val="en-US" w:eastAsia="zh-CN"/>
        </w:rPr>
        <w:t xml:space="preserve"> (Ericsson)</w:t>
      </w:r>
    </w:p>
    <w:p w14:paraId="04A66649" w14:textId="77777777" w:rsidR="00392530" w:rsidRDefault="002A28EE">
      <w:pPr>
        <w:pStyle w:val="aff5"/>
        <w:numPr>
          <w:ilvl w:val="0"/>
          <w:numId w:val="14"/>
        </w:numPr>
        <w:snapToGrid/>
        <w:spacing w:line="259" w:lineRule="auto"/>
      </w:pPr>
      <w:r>
        <w:rPr>
          <w:rFonts w:hint="eastAsia"/>
        </w:rPr>
        <w:t>R2-2309051</w:t>
      </w:r>
      <w:r>
        <w:rPr>
          <w:rFonts w:hint="eastAsia"/>
          <w:lang w:val="en-US" w:eastAsia="zh-CN"/>
        </w:rPr>
        <w:t xml:space="preserve"> Introducing support for Network Controlled Repeaters to </w:t>
      </w:r>
      <w:proofErr w:type="gramStart"/>
      <w:r>
        <w:rPr>
          <w:rFonts w:hint="eastAsia"/>
          <w:lang w:val="en-US" w:eastAsia="zh-CN"/>
        </w:rPr>
        <w:t>38.331  ZTE</w:t>
      </w:r>
      <w:proofErr w:type="gramEnd"/>
      <w:r>
        <w:rPr>
          <w:rFonts w:hint="eastAsia"/>
          <w:lang w:val="en-US" w:eastAsia="zh-CN"/>
        </w:rPr>
        <w:t xml:space="preserve"> Corporation (Rapporteur)</w:t>
      </w:r>
    </w:p>
    <w:p w14:paraId="556FCC7E" w14:textId="77777777" w:rsidR="00392530" w:rsidRDefault="002A28EE" w:rsidP="00F4622F">
      <w:pPr>
        <w:pStyle w:val="1"/>
        <w:numPr>
          <w:ilvl w:val="0"/>
          <w:numId w:val="0"/>
        </w:numPr>
        <w:pBdr>
          <w:top w:val="single" w:sz="12" w:space="0" w:color="auto"/>
        </w:pBdr>
        <w:ind w:left="425" w:hanging="425"/>
      </w:pPr>
      <w:r>
        <w:rPr>
          <w:rFonts w:hint="eastAsia"/>
          <w:lang w:val="en-US" w:eastAsia="zh-CN"/>
        </w:rPr>
        <w:t>Appendix</w:t>
      </w:r>
    </w:p>
    <w:p w14:paraId="3D04E9D2" w14:textId="77777777" w:rsidR="00392530" w:rsidRPr="00F4622F" w:rsidRDefault="002A28EE" w:rsidP="00F4622F">
      <w:pPr>
        <w:pStyle w:val="2"/>
        <w:numPr>
          <w:ilvl w:val="0"/>
          <w:numId w:val="15"/>
        </w:numPr>
        <w:rPr>
          <w:b/>
          <w:lang w:val="en-US" w:eastAsia="zh-CN"/>
        </w:rPr>
      </w:pPr>
      <w:r w:rsidRPr="00F4622F">
        <w:rPr>
          <w:rFonts w:hint="eastAsia"/>
          <w:b/>
          <w:lang w:val="en-US" w:eastAsia="zh-CN"/>
        </w:rPr>
        <w:t>TP#1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2530" w14:paraId="12CBD486" w14:textId="77777777">
        <w:tc>
          <w:tcPr>
            <w:tcW w:w="9629" w:type="dxa"/>
          </w:tcPr>
          <w:p w14:paraId="008AF449" w14:textId="77777777" w:rsidR="00392530" w:rsidRDefault="002A28EE">
            <w:pPr>
              <w:pStyle w:val="CRCoverPage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t xml:space="preserve">Reason for change: </w:t>
            </w:r>
          </w:p>
          <w:p w14:paraId="6DCA4392" w14:textId="77777777" w:rsidR="00392530" w:rsidRDefault="002A28EE">
            <w:pPr>
              <w:widowControl w:val="0"/>
              <w:spacing w:line="240" w:lineRule="auto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</w:t>
            </w:r>
            <w:r>
              <w:rPr>
                <w:rFonts w:hint="eastAsia"/>
                <w:iCs/>
                <w:lang w:val="en-US" w:eastAsia="zh-CN"/>
              </w:rPr>
              <w:t>TS</w:t>
            </w:r>
            <w:r>
              <w:rPr>
                <w:iCs/>
                <w:lang w:eastAsia="zh-CN"/>
              </w:rPr>
              <w:t>38.2</w:t>
            </w:r>
            <w:r>
              <w:rPr>
                <w:rFonts w:hint="eastAsia"/>
                <w:iCs/>
                <w:lang w:val="en-US" w:eastAsia="zh-CN"/>
              </w:rPr>
              <w:t xml:space="preserve">11, the statements using the term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>UE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are equally applicable to the IAB-MT. Similarly, NCR-MT</w:t>
            </w:r>
            <w:r>
              <w:rPr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 xml:space="preserve">s behavior is also similar as UE, following the same logic, the statements using the term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>UE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are also equally applicable to the NCR-MT unless otherwise noted.</w:t>
            </w:r>
          </w:p>
          <w:p w14:paraId="038F3AF2" w14:textId="77777777" w:rsidR="00392530" w:rsidRDefault="002A28EE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Summary of change:</w:t>
            </w:r>
          </w:p>
          <w:p w14:paraId="28D4FB28" w14:textId="77777777" w:rsidR="00392530" w:rsidRDefault="002A28EE">
            <w:pPr>
              <w:widowControl w:val="0"/>
              <w:spacing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TS38.</w:t>
            </w:r>
            <w:r>
              <w:rPr>
                <w:rFonts w:hint="eastAsia"/>
                <w:lang w:val="en-US" w:eastAsia="zh-CN"/>
              </w:rPr>
              <w:t>211, clause 3.3, the definition of NCR-MT is added.</w:t>
            </w:r>
          </w:p>
          <w:p w14:paraId="0DB3EB93" w14:textId="77777777" w:rsidR="00392530" w:rsidRDefault="002A28EE">
            <w:pPr>
              <w:widowControl w:val="0"/>
              <w:spacing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4.1,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and the NCR-MT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added after </w:t>
            </w:r>
            <w:r>
              <w:rPr>
                <w:lang w:val="en-US" w:eastAsia="zh-CN"/>
              </w:rPr>
              <w:t>“</w:t>
            </w:r>
            <w:r>
              <w:t xml:space="preserve">Throughout this specification, unless otherwise noted, statements using the term "UE" in clauses 4, 5, 6, or 7 are equally applicable to the </w:t>
            </w:r>
            <w:r>
              <w:rPr>
                <w:lang w:val="en-US"/>
              </w:rPr>
              <w:t>IAB-MT part of an IAB-node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A61292A" w14:textId="77777777" w:rsidR="00392530" w:rsidRDefault="002A28EE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Consequences if not approved:</w:t>
            </w:r>
          </w:p>
          <w:p w14:paraId="0C750408" w14:textId="77777777" w:rsidR="00392530" w:rsidRDefault="002A28EE">
            <w:pPr>
              <w:widowControl w:val="0"/>
              <w:pBdr>
                <w:bottom w:val="double" w:sz="6" w:space="1" w:color="auto"/>
              </w:pBdr>
              <w:rPr>
                <w:lang w:val="en-US"/>
              </w:rPr>
            </w:pPr>
            <w:r>
              <w:rPr>
                <w:iCs/>
                <w:lang w:eastAsia="zh-CN"/>
              </w:rPr>
              <w:t xml:space="preserve">The </w:t>
            </w:r>
            <w:r>
              <w:rPr>
                <w:rFonts w:hint="eastAsia"/>
                <w:iCs/>
                <w:lang w:val="en-US" w:eastAsia="zh-CN"/>
              </w:rPr>
              <w:t>behavior of NCR-MT is not clear.</w:t>
            </w:r>
          </w:p>
          <w:p w14:paraId="00285D3C" w14:textId="77777777" w:rsidR="00392530" w:rsidRDefault="002A28EE">
            <w:pPr>
              <w:widowControl w:val="0"/>
              <w:spacing w:line="240" w:lineRule="auto"/>
              <w:jc w:val="center"/>
            </w:pPr>
            <w:bookmarkStart w:id="17" w:name="_Toc19796374"/>
            <w:bookmarkStart w:id="18" w:name="_Toc36026503"/>
            <w:bookmarkStart w:id="19" w:name="_Toc29230244"/>
            <w:bookmarkStart w:id="20" w:name="_Toc51774011"/>
            <w:bookmarkStart w:id="21" w:name="_Toc26459600"/>
            <w:bookmarkStart w:id="22" w:name="_Toc45107342"/>
            <w:bookmarkStart w:id="23" w:name="_Toc106014700"/>
            <w:r>
              <w:rPr>
                <w:b/>
                <w:bCs/>
                <w:color w:val="FF0000"/>
                <w:lang w:eastAsia="zh-CN"/>
              </w:rPr>
              <w:t>&lt; Unchanged text om</w:t>
            </w:r>
            <w:r>
              <w:rPr>
                <w:b/>
                <w:bCs/>
                <w:color w:val="FF0000"/>
                <w:lang w:eastAsia="zh-CN"/>
              </w:rPr>
              <w:t>itted &gt;</w:t>
            </w:r>
          </w:p>
          <w:p w14:paraId="278D6E5C" w14:textId="77777777" w:rsidR="00392530" w:rsidRDefault="00392530">
            <w:pPr>
              <w:rPr>
                <w:b/>
                <w:bCs/>
              </w:rPr>
            </w:pPr>
          </w:p>
          <w:p w14:paraId="77CF95AA" w14:textId="77777777" w:rsidR="00392530" w:rsidRDefault="002A28EE">
            <w:pPr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  <w:r>
              <w:rPr>
                <w:b/>
                <w:bCs/>
              </w:rPr>
              <w:tab/>
              <w:t>Abbreviations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71AD859A" w14:textId="77777777" w:rsidR="00392530" w:rsidRDefault="002A28EE">
            <w:pPr>
              <w:pStyle w:val="EW"/>
            </w:pPr>
            <w:r>
              <w:t>IAB-MT</w:t>
            </w:r>
            <w:r>
              <w:tab/>
              <w:t xml:space="preserve">IAB mobile termination </w:t>
            </w:r>
          </w:p>
          <w:p w14:paraId="28EB660C" w14:textId="77777777" w:rsidR="00392530" w:rsidRDefault="002A28EE">
            <w:pPr>
              <w:pStyle w:val="EW"/>
            </w:pPr>
            <w:r>
              <w:t>IE</w:t>
            </w:r>
            <w:r>
              <w:tab/>
              <w:t>Information element</w:t>
            </w:r>
          </w:p>
          <w:p w14:paraId="69B6B2FF" w14:textId="77777777" w:rsidR="00392530" w:rsidRDefault="002A28EE">
            <w:pPr>
              <w:pStyle w:val="EW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 xml:space="preserve">NCR-MT             </w:t>
            </w:r>
            <w:r>
              <w:rPr>
                <w:color w:val="FF0000"/>
              </w:rPr>
              <w:t>Network controlled repeater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 xml:space="preserve">- </w:t>
            </w:r>
            <w:r>
              <w:rPr>
                <w:color w:val="FF0000"/>
              </w:rPr>
              <w:t>mobile termination</w:t>
            </w:r>
          </w:p>
          <w:p w14:paraId="58CA955A" w14:textId="77777777" w:rsidR="00392530" w:rsidRDefault="002A28EE">
            <w:pPr>
              <w:pStyle w:val="EW"/>
            </w:pPr>
            <w:r>
              <w:t>PBCH</w:t>
            </w:r>
            <w:r>
              <w:tab/>
              <w:t>Physical broadcast channel</w:t>
            </w:r>
          </w:p>
          <w:p w14:paraId="6ED07B6E" w14:textId="77777777" w:rsidR="00392530" w:rsidRDefault="00392530">
            <w:pPr>
              <w:widowControl w:val="0"/>
              <w:spacing w:line="240" w:lineRule="auto"/>
              <w:jc w:val="left"/>
              <w:rPr>
                <w:color w:val="FF0000"/>
                <w:lang w:val="en-US" w:eastAsia="zh-CN"/>
              </w:rPr>
            </w:pPr>
          </w:p>
          <w:p w14:paraId="4F1C0DB7" w14:textId="77777777" w:rsidR="00392530" w:rsidRDefault="002A28EE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02470EE9" w14:textId="77777777" w:rsidR="00392530" w:rsidRDefault="00392530">
            <w:pPr>
              <w:rPr>
                <w:lang w:val="en-US"/>
              </w:rPr>
            </w:pPr>
          </w:p>
          <w:p w14:paraId="7B13A38F" w14:textId="77777777" w:rsidR="00392530" w:rsidRDefault="002A28EE">
            <w:pPr>
              <w:rPr>
                <w:b/>
                <w:bCs/>
              </w:rPr>
            </w:pPr>
            <w:r>
              <w:rPr>
                <w:b/>
                <w:bCs/>
              </w:rPr>
              <w:t>4.1</w:t>
            </w:r>
            <w:r>
              <w:rPr>
                <w:b/>
                <w:bCs/>
              </w:rPr>
              <w:tab/>
              <w:t>General</w:t>
            </w:r>
          </w:p>
          <w:p w14:paraId="3B769784" w14:textId="77777777" w:rsidR="00392530" w:rsidRDefault="002A28EE">
            <w:r>
              <w:t xml:space="preserve">Throughout this specification, unless otherwise noted, the size of various fields in the time domain is expressed in time units </w:t>
            </w:r>
            <w:r>
              <w:rPr>
                <w:position w:val="-10"/>
              </w:rPr>
              <w:object w:dxaOrig="1575" w:dyaOrig="315" w14:anchorId="2D2C336C">
                <v:shape id="_x0000_i1031" type="#_x0000_t75" style="width:79pt;height:16pt" o:ole="">
                  <v:imagedata r:id="rId7" o:title=""/>
                </v:shape>
                <o:OLEObject Type="Embed" ProgID="Equation.3" ShapeID="_x0000_i1031" DrawAspect="Content" ObjectID="_1757165179" r:id="rId19"/>
              </w:object>
            </w:r>
            <w:r>
              <w:t xml:space="preserve"> 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=480∙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>
              <w:t xml:space="preserve"> Hz and </w:t>
            </w:r>
            <w:r>
              <w:rPr>
                <w:position w:val="-10"/>
              </w:rPr>
              <w:object w:dxaOrig="915" w:dyaOrig="315" w14:anchorId="1D9CEB1F">
                <v:shape id="_x0000_i1032" type="#_x0000_t75" style="width:46pt;height:16pt" o:ole="">
                  <v:imagedata r:id="rId9" o:title=""/>
                </v:shape>
                <o:OLEObject Type="Embed" ProgID="Equation.3" ShapeID="_x0000_i1032" DrawAspect="Content" ObjectID="_1757165180" r:id="rId20"/>
              </w:object>
            </w:r>
            <w:r>
              <w:t xml:space="preserve">. The constant </w:t>
            </w:r>
            <w:r>
              <w:rPr>
                <w:position w:val="-10"/>
              </w:rPr>
              <w:object w:dxaOrig="1260" w:dyaOrig="300" w14:anchorId="22C75C1F">
                <v:shape id="_x0000_i1033" type="#_x0000_t75" style="width:63pt;height:15pt" o:ole="">
                  <v:imagedata r:id="rId11" o:title=""/>
                </v:shape>
                <o:OLEObject Type="Embed" ProgID="Equation.3" ShapeID="_x0000_i1033" DrawAspect="Content" ObjectID="_1757165181" r:id="rId21"/>
              </w:object>
            </w:r>
            <w:r>
              <w:t xml:space="preserve"> where </w:t>
            </w:r>
            <w:r>
              <w:rPr>
                <w:position w:val="-12"/>
              </w:rPr>
              <w:object w:dxaOrig="1680" w:dyaOrig="330" w14:anchorId="7B1A4BE8">
                <v:shape id="_x0000_i1034" type="#_x0000_t75" style="width:84pt;height:16.5pt" o:ole="">
                  <v:imagedata r:id="rId13" o:title=""/>
                </v:shape>
                <o:OLEObject Type="Embed" ProgID="Equation.3" ShapeID="_x0000_i1034" DrawAspect="Content" ObjectID="_1757165182" r:id="rId22"/>
              </w:object>
            </w:r>
            <w:r>
              <w:t xml:space="preserve">, </w:t>
            </w:r>
            <w:r>
              <w:rPr>
                <w:position w:val="-10"/>
              </w:rPr>
              <w:object w:dxaOrig="1500" w:dyaOrig="345" w14:anchorId="32EF9C38">
                <v:shape id="_x0000_i1035" type="#_x0000_t75" style="width:75pt;height:17.5pt" o:ole="">
                  <v:imagedata r:id="rId15" o:title=""/>
                </v:shape>
                <o:OLEObject Type="Embed" ProgID="Equation.3" ShapeID="_x0000_i1035" DrawAspect="Content" ObjectID="_1757165183" r:id="rId23"/>
              </w:object>
            </w:r>
            <w:r>
              <w:t xml:space="preserve"> and </w:t>
            </w:r>
            <w:r>
              <w:rPr>
                <w:position w:val="-12"/>
              </w:rPr>
              <w:object w:dxaOrig="1125" w:dyaOrig="315" w14:anchorId="2A10FDEF">
                <v:shape id="_x0000_i1036" type="#_x0000_t75" style="width:56.5pt;height:16pt" o:ole="">
                  <v:imagedata r:id="rId17" o:title=""/>
                </v:shape>
                <o:OLEObject Type="Embed" ProgID="Equation.3" ShapeID="_x0000_i1036" DrawAspect="Content" ObjectID="_1757165184" r:id="rId24"/>
              </w:object>
            </w:r>
            <w:r>
              <w:t>.</w:t>
            </w:r>
          </w:p>
          <w:p w14:paraId="05952775" w14:textId="77777777" w:rsidR="00392530" w:rsidRDefault="002A28EE">
            <w:pPr>
              <w:spacing w:after="0"/>
            </w:pPr>
            <w:r>
              <w:t xml:space="preserve">Throughout this specification, unless otherwise noted, statements using the term "UE" in clauses 4, 5, 6, or 7 are equally applicable to the </w:t>
            </w:r>
            <w:r>
              <w:rPr>
                <w:lang w:val="en-US"/>
              </w:rPr>
              <w:t>IAB-MT part of an IAB-node</w:t>
            </w:r>
            <w:r>
              <w:rPr>
                <w:rFonts w:hint="eastAsia"/>
                <w:color w:val="FF0000"/>
                <w:lang w:val="en-US" w:eastAsia="zh-CN"/>
              </w:rPr>
              <w:t xml:space="preserve"> and the NCR-MT</w:t>
            </w:r>
            <w:r>
              <w:t xml:space="preserve">. </w:t>
            </w:r>
            <w:bookmarkStart w:id="24" w:name="_GoBack"/>
            <w:bookmarkEnd w:id="24"/>
          </w:p>
          <w:p w14:paraId="45E75533" w14:textId="77777777" w:rsidR="00392530" w:rsidRDefault="002A28EE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lastRenderedPageBreak/>
              <w:t>&lt;</w:t>
            </w:r>
            <w:r>
              <w:rPr>
                <w:b/>
                <w:bCs/>
                <w:color w:val="FF0000"/>
                <w:lang w:eastAsia="zh-CN"/>
              </w:rPr>
              <w:t xml:space="preserve"> Unchanged text omitted &gt;</w:t>
            </w:r>
          </w:p>
          <w:p w14:paraId="56BC59BF" w14:textId="77777777" w:rsidR="00392530" w:rsidRDefault="00392530">
            <w:pPr>
              <w:rPr>
                <w:rFonts w:ascii="Times" w:eastAsia="MS Mincho" w:hAnsi="Times" w:cs="Times"/>
                <w:lang w:val="en-AU"/>
              </w:rPr>
            </w:pPr>
          </w:p>
        </w:tc>
      </w:tr>
    </w:tbl>
    <w:p w14:paraId="79B7AD0B" w14:textId="77777777" w:rsidR="00392530" w:rsidRPr="00F4622F" w:rsidRDefault="002A28EE" w:rsidP="00F4622F">
      <w:pPr>
        <w:pStyle w:val="2"/>
        <w:numPr>
          <w:ilvl w:val="0"/>
          <w:numId w:val="15"/>
        </w:numPr>
        <w:rPr>
          <w:b/>
          <w:lang w:val="en-US" w:eastAsia="zh-CN"/>
        </w:rPr>
      </w:pPr>
      <w:r w:rsidRPr="00F4622F">
        <w:rPr>
          <w:rFonts w:hint="eastAsia"/>
          <w:b/>
          <w:lang w:val="en-US" w:eastAsia="zh-CN"/>
        </w:rPr>
        <w:lastRenderedPageBreak/>
        <w:t>TP#2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2530" w14:paraId="727AB117" w14:textId="77777777">
        <w:tc>
          <w:tcPr>
            <w:tcW w:w="9629" w:type="dxa"/>
          </w:tcPr>
          <w:p w14:paraId="16766CD8" w14:textId="77777777" w:rsidR="00392530" w:rsidRDefault="002A28EE">
            <w:pPr>
              <w:pStyle w:val="CRCoverPage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t xml:space="preserve">Reason for change: </w:t>
            </w:r>
          </w:p>
          <w:p w14:paraId="583A5908" w14:textId="77777777" w:rsidR="00392530" w:rsidRDefault="002A28EE">
            <w:pPr>
              <w:widowControl w:val="0"/>
              <w:spacing w:line="240" w:lineRule="auto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</w:t>
            </w:r>
            <w:r>
              <w:rPr>
                <w:rFonts w:hint="eastAsia"/>
                <w:iCs/>
                <w:lang w:val="en-US" w:eastAsia="zh-CN"/>
              </w:rPr>
              <w:t>TS</w:t>
            </w:r>
            <w:r>
              <w:rPr>
                <w:iCs/>
                <w:lang w:eastAsia="zh-CN"/>
              </w:rPr>
              <w:t>38.2</w:t>
            </w:r>
            <w:r>
              <w:rPr>
                <w:rFonts w:hint="eastAsia"/>
                <w:iCs/>
                <w:lang w:val="en-US" w:eastAsia="zh-CN"/>
              </w:rPr>
              <w:t xml:space="preserve">14, the statements using the term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>UE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are equally applicable to the IAB-MT. Similarly, NCR-MT</w:t>
            </w:r>
            <w:r>
              <w:rPr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 xml:space="preserve">s behavior is also similar as UE, following the same logic, the statements using the term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>UE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are also equally applicable to the NCR-MT unless otherwise noted.</w:t>
            </w:r>
          </w:p>
          <w:p w14:paraId="51767B72" w14:textId="77777777" w:rsidR="00392530" w:rsidRDefault="002A28EE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Summary of change:</w:t>
            </w:r>
          </w:p>
          <w:p w14:paraId="496AA1B3" w14:textId="77777777" w:rsidR="00392530" w:rsidRDefault="002A28EE">
            <w:pPr>
              <w:widowControl w:val="0"/>
              <w:spacing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TS38.</w:t>
            </w:r>
            <w:r>
              <w:rPr>
                <w:rFonts w:hint="eastAsia"/>
                <w:lang w:val="en-US" w:eastAsia="zh-CN"/>
              </w:rPr>
              <w:t>214, clause 3.3, the definition of NCR-MT is added.</w:t>
            </w:r>
          </w:p>
          <w:p w14:paraId="1ACA2F57" w14:textId="77777777" w:rsidR="00392530" w:rsidRDefault="002A28EE">
            <w:pPr>
              <w:widowControl w:val="0"/>
              <w:spacing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4,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and the NCR-MT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added after </w:t>
            </w:r>
            <w:r>
              <w:rPr>
                <w:lang w:val="en-US" w:eastAsia="zh-CN"/>
              </w:rPr>
              <w:t>“</w:t>
            </w:r>
            <w:r>
              <w:t xml:space="preserve">Throughout this specification, unless otherwise noted, statements using the term "UE" in clauses 4, 5, or 6 are equally applicable to the </w:t>
            </w:r>
            <w:r>
              <w:rPr>
                <w:lang w:val="en-US"/>
              </w:rPr>
              <w:t>IAB-MT part of an IAB node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986D1E1" w14:textId="77777777" w:rsidR="00392530" w:rsidRDefault="002A28EE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Consequences if not approved:</w:t>
            </w:r>
          </w:p>
          <w:p w14:paraId="242E8433" w14:textId="77777777" w:rsidR="00392530" w:rsidRDefault="002A28EE">
            <w:pPr>
              <w:widowControl w:val="0"/>
              <w:pBdr>
                <w:bottom w:val="double" w:sz="6" w:space="1" w:color="auto"/>
              </w:pBdr>
              <w:rPr>
                <w:lang w:val="en-US"/>
              </w:rPr>
            </w:pPr>
            <w:r>
              <w:rPr>
                <w:iCs/>
                <w:lang w:eastAsia="zh-CN"/>
              </w:rPr>
              <w:t xml:space="preserve">The </w:t>
            </w:r>
            <w:r>
              <w:rPr>
                <w:rFonts w:hint="eastAsia"/>
                <w:iCs/>
                <w:lang w:val="en-US" w:eastAsia="zh-CN"/>
              </w:rPr>
              <w:t>behavior of NCR-MT is not clear.</w:t>
            </w:r>
          </w:p>
          <w:p w14:paraId="27925BBD" w14:textId="77777777" w:rsidR="00392530" w:rsidRDefault="002A28EE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</w:t>
            </w:r>
            <w:r>
              <w:rPr>
                <w:b/>
                <w:bCs/>
                <w:color w:val="FF0000"/>
                <w:lang w:eastAsia="zh-CN"/>
              </w:rPr>
              <w:t>ed &gt;</w:t>
            </w:r>
          </w:p>
          <w:p w14:paraId="34D638E1" w14:textId="77777777" w:rsidR="00392530" w:rsidRDefault="00392530">
            <w:pPr>
              <w:rPr>
                <w:b/>
                <w:bCs/>
              </w:rPr>
            </w:pPr>
          </w:p>
          <w:p w14:paraId="1950D3B3" w14:textId="77777777" w:rsidR="00392530" w:rsidRDefault="002A28EE">
            <w:r>
              <w:rPr>
                <w:b/>
                <w:bCs/>
              </w:rPr>
              <w:t>3.3</w:t>
            </w:r>
            <w:r>
              <w:rPr>
                <w:b/>
                <w:bCs/>
              </w:rPr>
              <w:tab/>
              <w:t>Abbreviations</w:t>
            </w:r>
          </w:p>
          <w:p w14:paraId="4CD64A33" w14:textId="77777777" w:rsidR="00392530" w:rsidRDefault="002A28EE">
            <w:pPr>
              <w:pStyle w:val="EW"/>
            </w:pPr>
            <w:r>
              <w:t>IAB-MT</w:t>
            </w:r>
            <w:r>
              <w:tab/>
              <w:t xml:space="preserve">Integrated Access and Backhaul – Mobile Terminal </w:t>
            </w:r>
          </w:p>
          <w:p w14:paraId="53E96E01" w14:textId="77777777" w:rsidR="00392530" w:rsidRDefault="002A28EE">
            <w:pPr>
              <w:pStyle w:val="EW"/>
            </w:pPr>
            <w:r>
              <w:t>L1-RSRP</w:t>
            </w:r>
            <w:r>
              <w:tab/>
              <w:t>Layer 1 reference signal received power</w:t>
            </w:r>
          </w:p>
          <w:p w14:paraId="3D2DF049" w14:textId="77777777" w:rsidR="00392530" w:rsidRDefault="002A28EE">
            <w:pPr>
              <w:pStyle w:val="EW"/>
            </w:pPr>
            <w:r>
              <w:t>LI</w:t>
            </w:r>
            <w:r>
              <w:tab/>
              <w:t>Layer Indicator</w:t>
            </w:r>
          </w:p>
          <w:p w14:paraId="2667E4C8" w14:textId="77777777" w:rsidR="00392530" w:rsidRDefault="002A28EE">
            <w:pPr>
              <w:pStyle w:val="EW"/>
            </w:pPr>
            <w:r>
              <w:t>MCS</w:t>
            </w:r>
            <w:r>
              <w:tab/>
              <w:t>Modulation and coding scheme</w:t>
            </w:r>
          </w:p>
          <w:p w14:paraId="7AC09256" w14:textId="77777777" w:rsidR="00392530" w:rsidRDefault="002A28EE">
            <w:pPr>
              <w:pStyle w:val="EW"/>
            </w:pPr>
            <w:r>
              <w:rPr>
                <w:rFonts w:hint="eastAsia"/>
                <w:color w:val="FF0000"/>
                <w:lang w:eastAsia="zh-CN"/>
              </w:rPr>
              <w:t xml:space="preserve">NCR-MT             </w:t>
            </w:r>
            <w:r>
              <w:rPr>
                <w:color w:val="FF0000"/>
              </w:rPr>
              <w:t>Network controlled repeater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 xml:space="preserve">- </w:t>
            </w:r>
            <w:r>
              <w:rPr>
                <w:color w:val="FF0000"/>
              </w:rPr>
              <w:t>mobile termination</w:t>
            </w:r>
          </w:p>
          <w:p w14:paraId="48BAEA99" w14:textId="77777777" w:rsidR="00392530" w:rsidRDefault="002A28EE">
            <w:pPr>
              <w:pStyle w:val="EW"/>
              <w:rPr>
                <w:b/>
                <w:bCs/>
                <w:color w:val="FF0000"/>
                <w:lang w:eastAsia="zh-CN"/>
              </w:rPr>
            </w:pPr>
            <w:r>
              <w:t>PDCCH</w:t>
            </w:r>
            <w:r>
              <w:tab/>
            </w:r>
            <w:r>
              <w:t>Physical downlink control channel</w:t>
            </w:r>
          </w:p>
          <w:p w14:paraId="45C6C513" w14:textId="77777777" w:rsidR="00392530" w:rsidRDefault="00392530">
            <w:pPr>
              <w:widowControl w:val="0"/>
              <w:spacing w:line="240" w:lineRule="auto"/>
              <w:jc w:val="center"/>
              <w:rPr>
                <w:b/>
                <w:bCs/>
                <w:color w:val="FF0000"/>
                <w:lang w:eastAsia="zh-CN"/>
              </w:rPr>
            </w:pPr>
          </w:p>
          <w:p w14:paraId="75834D67" w14:textId="77777777" w:rsidR="00392530" w:rsidRDefault="002A28EE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493D7103" w14:textId="77777777" w:rsidR="00392530" w:rsidRDefault="00392530">
            <w:pPr>
              <w:rPr>
                <w:lang w:val="en-US"/>
              </w:rPr>
            </w:pPr>
          </w:p>
          <w:p w14:paraId="55255F06" w14:textId="77777777" w:rsidR="00392530" w:rsidRDefault="002A28EE">
            <w:pPr>
              <w:rPr>
                <w:b/>
                <w:bCs/>
              </w:rPr>
            </w:pPr>
            <w:bookmarkStart w:id="25" w:name="_Toc11352077"/>
            <w:bookmarkStart w:id="26" w:name="_Toc29673130"/>
            <w:bookmarkStart w:id="27" w:name="_Toc122105088"/>
            <w:bookmarkStart w:id="28" w:name="_Toc29673271"/>
            <w:bookmarkStart w:id="29" w:name="_Toc20317967"/>
            <w:bookmarkStart w:id="30" w:name="_Toc29674264"/>
            <w:bookmarkStart w:id="31" w:name="_Toc36645494"/>
            <w:bookmarkStart w:id="32" w:name="_Toc45810539"/>
            <w:bookmarkStart w:id="33" w:name="_Toc27299865"/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tab/>
              <w:t>Power control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r>
              <w:rPr>
                <w:b/>
                <w:bCs/>
              </w:rPr>
              <w:t xml:space="preserve"> </w:t>
            </w:r>
          </w:p>
          <w:p w14:paraId="15BB4857" w14:textId="77777777" w:rsidR="00392530" w:rsidRDefault="002A28EE">
            <w:pPr>
              <w:rPr>
                <w:color w:val="000000"/>
              </w:rPr>
            </w:pPr>
            <w:bookmarkStart w:id="34" w:name="_Hlk29460288"/>
            <w:r>
              <w:t xml:space="preserve">Throughout this specification, unless otherwise noted, statements using the term "UE" in clauses 4, 5, or 6 are equally applicable to the </w:t>
            </w:r>
            <w:r>
              <w:rPr>
                <w:lang w:val="en-US"/>
              </w:rPr>
              <w:t>IAB-MT part of an IAB node</w:t>
            </w:r>
            <w:r>
              <w:rPr>
                <w:rFonts w:hint="eastAsia"/>
                <w:color w:val="FF0000"/>
                <w:lang w:val="en-US" w:eastAsia="zh-CN"/>
              </w:rPr>
              <w:t xml:space="preserve"> and the NCR</w:t>
            </w:r>
            <w:r>
              <w:rPr>
                <w:rFonts w:hint="eastAsia"/>
                <w:color w:val="FF0000"/>
                <w:lang w:val="en-US" w:eastAsia="zh-CN"/>
              </w:rPr>
              <w:t>-MT</w:t>
            </w:r>
            <w:r>
              <w:t>.</w:t>
            </w:r>
          </w:p>
          <w:bookmarkEnd w:id="34"/>
          <w:p w14:paraId="4CD2FF4E" w14:textId="77777777" w:rsidR="00392530" w:rsidRDefault="002A28EE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55993B09" w14:textId="77777777" w:rsidR="00392530" w:rsidRDefault="00392530">
            <w:pPr>
              <w:rPr>
                <w:rFonts w:ascii="Times" w:eastAsia="MS Mincho" w:hAnsi="Times" w:cs="Times"/>
                <w:lang w:val="en-AU"/>
              </w:rPr>
            </w:pPr>
          </w:p>
        </w:tc>
      </w:tr>
    </w:tbl>
    <w:p w14:paraId="67B33B23" w14:textId="77777777" w:rsidR="00392530" w:rsidRPr="00F4622F" w:rsidRDefault="002A28EE" w:rsidP="00F4622F">
      <w:pPr>
        <w:pStyle w:val="2"/>
        <w:numPr>
          <w:ilvl w:val="0"/>
          <w:numId w:val="15"/>
        </w:numPr>
        <w:rPr>
          <w:b/>
          <w:lang w:val="en-US" w:eastAsia="zh-CN"/>
        </w:rPr>
      </w:pPr>
      <w:r w:rsidRPr="00F4622F">
        <w:rPr>
          <w:rFonts w:hint="eastAsia"/>
          <w:b/>
          <w:lang w:val="en-US" w:eastAsia="zh-CN"/>
        </w:rPr>
        <w:t>TP#3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2530" w14:paraId="56EFB6B2" w14:textId="77777777">
        <w:tc>
          <w:tcPr>
            <w:tcW w:w="9855" w:type="dxa"/>
          </w:tcPr>
          <w:p w14:paraId="61F0AE71" w14:textId="77777777" w:rsidR="00392530" w:rsidRDefault="002A28EE">
            <w:pPr>
              <w:pStyle w:val="CRCoverPage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t xml:space="preserve">Reason for change: </w:t>
            </w:r>
          </w:p>
          <w:p w14:paraId="69610123" w14:textId="77777777" w:rsidR="00392530" w:rsidRDefault="002A28EE">
            <w:pPr>
              <w:widowControl w:val="0"/>
              <w:spacing w:line="240" w:lineRule="auto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In TS 38.213, for backhaul link beam determination, the terminologies are different when describing that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 xml:space="preserve">NCR </w:t>
            </w:r>
            <w:r>
              <w:rPr>
                <w:lang w:eastAsia="ko-KR"/>
              </w:rPr>
              <w:t>does not receive an indication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or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 xml:space="preserve">NCR-MT </w:t>
            </w:r>
            <w:r>
              <w:rPr>
                <w:lang w:eastAsia="ko-KR"/>
              </w:rPr>
              <w:t>does not receive an indication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>.</w:t>
            </w:r>
          </w:p>
          <w:p w14:paraId="49757E9F" w14:textId="77777777" w:rsidR="00392530" w:rsidRDefault="002A28EE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Summary of</w:t>
            </w:r>
            <w:r>
              <w:rPr>
                <w:b/>
                <w:bCs/>
                <w:iCs/>
                <w:lang w:eastAsia="zh-CN"/>
              </w:rPr>
              <w:t xml:space="preserve"> change:</w:t>
            </w:r>
          </w:p>
          <w:p w14:paraId="3B876A9C" w14:textId="77777777" w:rsidR="00392530" w:rsidRDefault="002A28EE">
            <w:pPr>
              <w:widowControl w:val="0"/>
              <w:spacing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TS38.213, Section 20,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NCR-MT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changed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NCR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511BC23" w14:textId="77777777" w:rsidR="00392530" w:rsidRDefault="002A28EE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Consequences if not approved:</w:t>
            </w:r>
          </w:p>
          <w:p w14:paraId="246B5FE9" w14:textId="77777777" w:rsidR="00392530" w:rsidRDefault="002A28EE">
            <w:pPr>
              <w:widowControl w:val="0"/>
              <w:pBdr>
                <w:bottom w:val="double" w:sz="6" w:space="1" w:color="auto"/>
              </w:pBdr>
              <w:rPr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It</w:t>
            </w:r>
            <w:r>
              <w:rPr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>s not clear to use different terminologies when describing the same issue.</w:t>
            </w:r>
          </w:p>
          <w:p w14:paraId="464B3547" w14:textId="77777777" w:rsidR="00392530" w:rsidRDefault="002A28EE">
            <w:pPr>
              <w:widowControl w:val="0"/>
              <w:spacing w:line="240" w:lineRule="auto"/>
              <w:jc w:val="center"/>
              <w:rPr>
                <w:lang w:val="en-US"/>
              </w:rPr>
            </w:pPr>
            <w:r>
              <w:rPr>
                <w:b/>
                <w:bCs/>
                <w:color w:val="FF0000"/>
                <w:lang w:eastAsia="zh-CN"/>
              </w:rPr>
              <w:lastRenderedPageBreak/>
              <w:t>&lt; Unchanged text omitted &gt;</w:t>
            </w:r>
          </w:p>
          <w:p w14:paraId="4E47B125" w14:textId="77777777" w:rsidR="00392530" w:rsidRDefault="002A28E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rFonts w:hint="eastAsia"/>
                <w:b/>
                <w:bCs/>
                <w:lang w:val="en-US"/>
              </w:rPr>
              <w:tab/>
            </w:r>
            <w:r>
              <w:rPr>
                <w:b/>
                <w:bCs/>
                <w:lang w:val="en-US"/>
              </w:rPr>
              <w:t>Network controlled repeater</w:t>
            </w:r>
          </w:p>
          <w:p w14:paraId="2F63B5CE" w14:textId="77777777" w:rsidR="00392530" w:rsidRDefault="002A28EE">
            <w:pPr>
              <w:rPr>
                <w:iCs/>
              </w:rPr>
            </w:pPr>
            <w:r>
              <w:rPr>
                <w:iCs/>
              </w:rPr>
              <w:t xml:space="preserve">When the NCR does not </w:t>
            </w:r>
            <w:r>
              <w:rPr>
                <w:iCs/>
              </w:rPr>
              <w:t>simultaneously receive on the control link and the backhaul link</w:t>
            </w:r>
          </w:p>
          <w:p w14:paraId="1F425FC1" w14:textId="77777777" w:rsidR="00392530" w:rsidRDefault="002A28EE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the NCR does not su</w:t>
            </w:r>
            <w:r>
              <w:rPr>
                <w:lang w:eastAsia="ko-KR"/>
              </w:rPr>
              <w:t>pport d</w:t>
            </w:r>
            <w:r>
              <w:rPr>
                <w:lang w:eastAsia="ko-KR"/>
              </w:rPr>
              <w:t>etermination of a TCI state for receptions on the backhaul link based on an indication of a TCI state by the serving cell, or if the NCR does not receive an ind</w:t>
            </w:r>
            <w:r>
              <w:rPr>
                <w:lang w:eastAsia="ko-KR"/>
              </w:rPr>
              <w:t>ication of a TCI state, for receptions on the backhaul link [11, TS 38.321]</w:t>
            </w:r>
          </w:p>
          <w:p w14:paraId="50602044" w14:textId="77777777" w:rsidR="00392530" w:rsidRDefault="002A28EE">
            <w:pPr>
              <w:pStyle w:val="B2"/>
              <w:rPr>
                <w:color w:val="000000"/>
                <w:lang w:eastAsia="zh-CN"/>
              </w:rPr>
            </w:pPr>
            <w:r>
              <w:t>-</w:t>
            </w:r>
            <w:r>
              <w:tab/>
              <w:t xml:space="preserve">if the NCR </w:t>
            </w:r>
            <w:r>
              <w:rPr>
                <w:lang w:eastAsia="ko-KR"/>
              </w:rPr>
              <w:t>does not receive an indication of a unified TCI state for receptions by the NCR-MT, receptions on the backhaul link use same</w:t>
            </w:r>
            <w:r>
              <w:rPr>
                <w:color w:val="000000"/>
              </w:rPr>
              <w:t xml:space="preserve"> QCL parameters as the ones for PDCCH receptions in a CORESET with the lowest </w:t>
            </w:r>
            <w:proofErr w:type="spellStart"/>
            <w:r>
              <w:rPr>
                <w:i/>
                <w:color w:val="000000"/>
              </w:rPr>
              <w:t>controlResourceSetId</w:t>
            </w:r>
            <w:proofErr w:type="spellEnd"/>
            <w:r>
              <w:rPr>
                <w:color w:val="000000"/>
              </w:rPr>
              <w:t xml:space="preserve"> </w:t>
            </w:r>
          </w:p>
          <w:p w14:paraId="12C2B08A" w14:textId="77777777" w:rsidR="00392530" w:rsidRDefault="002A28EE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>else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receptions on the backhaul link use</w:t>
            </w:r>
            <w:r>
              <w:rPr>
                <w:color w:val="000000"/>
              </w:rPr>
              <w:t xml:space="preserve"> the QCL parameters provided by an indicated</w:t>
            </w:r>
            <w:r>
              <w:rPr>
                <w:lang w:eastAsia="ko-KR"/>
              </w:rPr>
              <w:t xml:space="preserve"> unified </w:t>
            </w:r>
            <w:r>
              <w:rPr>
                <w:color w:val="000000"/>
              </w:rPr>
              <w:t>TCI state</w:t>
            </w:r>
            <w:r>
              <w:rPr>
                <w:lang w:eastAsia="ko-KR"/>
              </w:rPr>
              <w:t xml:space="preserve"> for receptions by the NCR-MT</w:t>
            </w:r>
            <w:r>
              <w:rPr>
                <w:color w:val="000000"/>
              </w:rPr>
              <w:t xml:space="preserve"> </w:t>
            </w:r>
          </w:p>
          <w:p w14:paraId="51FB5DD2" w14:textId="77777777" w:rsidR="00392530" w:rsidRDefault="002A28EE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>else</w:t>
            </w:r>
            <w:r>
              <w:rPr>
                <w:lang w:eastAsia="ko-KR"/>
              </w:rPr>
              <w:t xml:space="preserve"> receptions on</w:t>
            </w:r>
            <w:r>
              <w:rPr>
                <w:lang w:eastAsia="ko-KR"/>
              </w:rPr>
              <w:t xml:space="preserve"> the backhaul link use QCL parameters provided by a TCI state in a MAC CE [11, TS 38.321].</w:t>
            </w:r>
          </w:p>
          <w:p w14:paraId="334B2A44" w14:textId="77777777" w:rsidR="00392530" w:rsidRDefault="002A28EE">
            <w:pPr>
              <w:rPr>
                <w:iCs/>
              </w:rPr>
            </w:pPr>
            <w:r>
              <w:rPr>
                <w:iCs/>
              </w:rPr>
              <w:t>When the NCR does not simultaneously transmit on the control link and the backhaul link</w:t>
            </w:r>
          </w:p>
          <w:p w14:paraId="65A13889" w14:textId="18BC24B1" w:rsidR="00392530" w:rsidRDefault="002A28EE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eastAsia="ko-KR"/>
              </w:rPr>
              <w:t>the NCR does not support determination of a spatial filter for transmiss</w:t>
            </w:r>
            <w:r>
              <w:rPr>
                <w:lang w:eastAsia="ko-KR"/>
              </w:rPr>
              <w:t>ions on the backhaul link based on an indication of a unified TCI state or SRI by the serving cell, or if the NCR</w:t>
            </w:r>
            <w:r>
              <w:rPr>
                <w:strike/>
                <w:color w:val="FF0000"/>
                <w:lang w:eastAsia="ko-KR"/>
              </w:rPr>
              <w:t>-MT</w:t>
            </w:r>
            <w:r>
              <w:rPr>
                <w:lang w:eastAsia="ko-KR"/>
              </w:rPr>
              <w:t xml:space="preserve"> does not receive an indication of a unified TCI state or SRI for determining a spatial filter, for transmissions on the backhaul link</w:t>
            </w:r>
          </w:p>
          <w:p w14:paraId="7502C4B2" w14:textId="77777777" w:rsidR="00392530" w:rsidRDefault="002A28EE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 xml:space="preserve">if the NCR </w:t>
            </w:r>
            <w:r>
              <w:rPr>
                <w:lang w:eastAsia="ko-KR"/>
              </w:rPr>
              <w:t>does not receive an indication of a unified TCI state for transmissions by the NCR-MT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transmissions on the backhaul link use a same</w:t>
            </w:r>
            <w:r>
              <w:rPr>
                <w:color w:val="000000"/>
              </w:rPr>
              <w:t xml:space="preserve"> spatial filter</w:t>
            </w:r>
            <w:r>
              <w:rPr>
                <w:color w:val="000000"/>
              </w:rPr>
              <w:t xml:space="preserve"> as the one associated with the PUCCH resource with the </w:t>
            </w:r>
            <w:r w:rsidRPr="00F4622F">
              <w:rPr>
                <w:strike/>
                <w:color w:val="FF0000"/>
              </w:rPr>
              <w:t>smallest</w:t>
            </w:r>
            <w:r w:rsidRPr="00F4622F">
              <w:rPr>
                <w:color w:val="FF0000"/>
                <w:lang w:eastAsia="zh-CN"/>
              </w:rPr>
              <w:t xml:space="preserve"> </w:t>
            </w:r>
            <w:r w:rsidRPr="00F4622F">
              <w:rPr>
                <w:color w:val="FF0000"/>
                <w:lang w:eastAsia="zh-CN"/>
              </w:rPr>
              <w:t>lowest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i/>
              </w:rPr>
              <w:t>pucch-ResourceId</w:t>
            </w:r>
            <w:proofErr w:type="spellEnd"/>
            <w:r>
              <w:t xml:space="preserve"> in </w:t>
            </w:r>
            <w:r>
              <w:rPr>
                <w:i/>
              </w:rPr>
              <w:t>PUCCH-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t xml:space="preserve"> </w:t>
            </w:r>
          </w:p>
          <w:p w14:paraId="0640D435" w14:textId="77777777" w:rsidR="00392530" w:rsidRDefault="002A28EE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>else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transmissions on the backhaul link use</w:t>
            </w:r>
            <w:r>
              <w:rPr>
                <w:color w:val="000000"/>
              </w:rPr>
              <w:t xml:space="preserve"> a spatial filter corresponding to an indicated</w:t>
            </w:r>
            <w:r>
              <w:rPr>
                <w:lang w:eastAsia="ko-KR"/>
              </w:rPr>
              <w:t xml:space="preserve"> unified </w:t>
            </w:r>
            <w:r>
              <w:rPr>
                <w:color w:val="000000"/>
              </w:rPr>
              <w:t xml:space="preserve">TCI state for transmissions by the NCR-MT. </w:t>
            </w:r>
          </w:p>
          <w:p w14:paraId="0019AC55" w14:textId="77777777" w:rsidR="00392530" w:rsidRDefault="002A28EE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>else</w:t>
            </w:r>
            <w:r>
              <w:rPr>
                <w:lang w:eastAsia="ko-KR"/>
              </w:rPr>
              <w:t xml:space="preserve"> transmissions on the backhaul link use a spatial filter correspo</w:t>
            </w:r>
            <w:r>
              <w:rPr>
                <w:lang w:eastAsia="ko-KR"/>
              </w:rPr>
              <w:t>nding to a unified TCI state or SRI provided by a MAC CE [11, TS 38.321].</w:t>
            </w:r>
          </w:p>
          <w:p w14:paraId="73F4D965" w14:textId="77777777" w:rsidR="00392530" w:rsidRDefault="002A28EE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1344F174" w14:textId="77777777" w:rsidR="00392530" w:rsidRDefault="00392530">
            <w:pPr>
              <w:rPr>
                <w:iCs/>
                <w:lang w:eastAsia="zh-CN"/>
              </w:rPr>
            </w:pPr>
          </w:p>
        </w:tc>
      </w:tr>
    </w:tbl>
    <w:p w14:paraId="4540B669" w14:textId="77777777" w:rsidR="00392530" w:rsidRDefault="00392530">
      <w:pPr>
        <w:rPr>
          <w:lang w:val="en-US" w:eastAsia="zh-CN"/>
        </w:rPr>
      </w:pPr>
    </w:p>
    <w:sectPr w:rsidR="00392530">
      <w:footerReference w:type="default" r:id="rId25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C6BE4" w14:textId="77777777" w:rsidR="002A28EE" w:rsidRDefault="002A28EE">
      <w:pPr>
        <w:spacing w:after="0"/>
      </w:pPr>
      <w:r>
        <w:separator/>
      </w:r>
    </w:p>
  </w:endnote>
  <w:endnote w:type="continuationSeparator" w:id="0">
    <w:p w14:paraId="1CF224DC" w14:textId="77777777" w:rsidR="002A28EE" w:rsidRDefault="002A28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14:paraId="585C4C98" w14:textId="77777777" w:rsidR="00392530" w:rsidRDefault="002A28EE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14:paraId="67F33CD5" w14:textId="77777777" w:rsidR="00392530" w:rsidRDefault="0039253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0A088" w14:textId="77777777" w:rsidR="002A28EE" w:rsidRDefault="002A28EE">
      <w:pPr>
        <w:spacing w:after="0"/>
      </w:pPr>
      <w:r>
        <w:separator/>
      </w:r>
    </w:p>
  </w:footnote>
  <w:footnote w:type="continuationSeparator" w:id="0">
    <w:p w14:paraId="70C7F463" w14:textId="77777777" w:rsidR="002A28EE" w:rsidRDefault="002A28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A6AC2"/>
    <w:multiLevelType w:val="hybridMultilevel"/>
    <w:tmpl w:val="A7F037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9"/>
  </w:num>
  <w:num w:numId="5">
    <w:abstractNumId w:val="4"/>
  </w:num>
  <w:num w:numId="6">
    <w:abstractNumId w:val="2"/>
  </w:num>
  <w:num w:numId="7">
    <w:abstractNumId w:val="5"/>
  </w:num>
  <w:num w:numId="8">
    <w:abstractNumId w:val="14"/>
  </w:num>
  <w:num w:numId="9">
    <w:abstractNumId w:val="10"/>
  </w:num>
  <w:num w:numId="10">
    <w:abstractNumId w:val="6"/>
  </w:num>
  <w:num w:numId="11">
    <w:abstractNumId w:val="13"/>
  </w:num>
  <w:num w:numId="12">
    <w:abstractNumId w:val="12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"/>
  </w:num>
  <w:num w:numId="15">
    <w:abstractNumId w:val="3"/>
  </w:num>
  <w:num w:numId="16">
    <w:abstractNumId w:val="7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9FBFABA8"/>
    <w:rsid w:val="DFE5D570"/>
    <w:rsid w:val="E9EA99DA"/>
    <w:rsid w:val="EF3E7D6E"/>
    <w:rsid w:val="F7EDDDCD"/>
    <w:rsid w:val="000047E8"/>
    <w:rsid w:val="00005174"/>
    <w:rsid w:val="00007D4F"/>
    <w:rsid w:val="00012D31"/>
    <w:rsid w:val="00017517"/>
    <w:rsid w:val="00017FEB"/>
    <w:rsid w:val="000210CE"/>
    <w:rsid w:val="0002618D"/>
    <w:rsid w:val="00026559"/>
    <w:rsid w:val="00046A52"/>
    <w:rsid w:val="0005544A"/>
    <w:rsid w:val="00062D93"/>
    <w:rsid w:val="00062ED6"/>
    <w:rsid w:val="00073369"/>
    <w:rsid w:val="000819E8"/>
    <w:rsid w:val="0009475B"/>
    <w:rsid w:val="000A26BD"/>
    <w:rsid w:val="000A548C"/>
    <w:rsid w:val="000A5F9B"/>
    <w:rsid w:val="000B34E6"/>
    <w:rsid w:val="000B4B44"/>
    <w:rsid w:val="000B5DF3"/>
    <w:rsid w:val="000C30D5"/>
    <w:rsid w:val="000D60BA"/>
    <w:rsid w:val="000E003E"/>
    <w:rsid w:val="000E037D"/>
    <w:rsid w:val="000E182A"/>
    <w:rsid w:val="000E4339"/>
    <w:rsid w:val="000F3BE8"/>
    <w:rsid w:val="000F7073"/>
    <w:rsid w:val="0011353B"/>
    <w:rsid w:val="00130F91"/>
    <w:rsid w:val="00134159"/>
    <w:rsid w:val="00162D5A"/>
    <w:rsid w:val="0016612A"/>
    <w:rsid w:val="00172A27"/>
    <w:rsid w:val="001759C8"/>
    <w:rsid w:val="001801A4"/>
    <w:rsid w:val="00180CC7"/>
    <w:rsid w:val="001858FC"/>
    <w:rsid w:val="00190ED9"/>
    <w:rsid w:val="001A4C3D"/>
    <w:rsid w:val="001A5D72"/>
    <w:rsid w:val="001B6A64"/>
    <w:rsid w:val="001C08BB"/>
    <w:rsid w:val="001C2011"/>
    <w:rsid w:val="001C60E0"/>
    <w:rsid w:val="001D1456"/>
    <w:rsid w:val="001D2883"/>
    <w:rsid w:val="001D3C86"/>
    <w:rsid w:val="001D592B"/>
    <w:rsid w:val="001E7C98"/>
    <w:rsid w:val="001F0D8F"/>
    <w:rsid w:val="0020058A"/>
    <w:rsid w:val="0020269C"/>
    <w:rsid w:val="00203AFE"/>
    <w:rsid w:val="00204EDB"/>
    <w:rsid w:val="0023752D"/>
    <w:rsid w:val="00260CCF"/>
    <w:rsid w:val="00262A07"/>
    <w:rsid w:val="00271D66"/>
    <w:rsid w:val="002904DA"/>
    <w:rsid w:val="00297AE0"/>
    <w:rsid w:val="002A28EE"/>
    <w:rsid w:val="002B21B5"/>
    <w:rsid w:val="002C6359"/>
    <w:rsid w:val="002D0B7E"/>
    <w:rsid w:val="002D6A9A"/>
    <w:rsid w:val="002E2621"/>
    <w:rsid w:val="002E2BA6"/>
    <w:rsid w:val="002E6359"/>
    <w:rsid w:val="00311D72"/>
    <w:rsid w:val="00323151"/>
    <w:rsid w:val="00324023"/>
    <w:rsid w:val="003264B7"/>
    <w:rsid w:val="003271BB"/>
    <w:rsid w:val="00332C94"/>
    <w:rsid w:val="00334D34"/>
    <w:rsid w:val="00336165"/>
    <w:rsid w:val="0034301E"/>
    <w:rsid w:val="003435F3"/>
    <w:rsid w:val="0035628D"/>
    <w:rsid w:val="00356EA5"/>
    <w:rsid w:val="003574C8"/>
    <w:rsid w:val="00362E86"/>
    <w:rsid w:val="0036346E"/>
    <w:rsid w:val="00365EAE"/>
    <w:rsid w:val="00386872"/>
    <w:rsid w:val="00391338"/>
    <w:rsid w:val="00392530"/>
    <w:rsid w:val="00392D96"/>
    <w:rsid w:val="003977D7"/>
    <w:rsid w:val="003A08FA"/>
    <w:rsid w:val="003A26B6"/>
    <w:rsid w:val="003A4F2B"/>
    <w:rsid w:val="003B2457"/>
    <w:rsid w:val="003C1041"/>
    <w:rsid w:val="003C1273"/>
    <w:rsid w:val="003C14ED"/>
    <w:rsid w:val="003C35D7"/>
    <w:rsid w:val="003D3B04"/>
    <w:rsid w:val="003D4E84"/>
    <w:rsid w:val="003D7710"/>
    <w:rsid w:val="003F4FA3"/>
    <w:rsid w:val="00412A46"/>
    <w:rsid w:val="00415695"/>
    <w:rsid w:val="004202A3"/>
    <w:rsid w:val="00443818"/>
    <w:rsid w:val="00457586"/>
    <w:rsid w:val="004607C3"/>
    <w:rsid w:val="00472871"/>
    <w:rsid w:val="00487603"/>
    <w:rsid w:val="00487EC1"/>
    <w:rsid w:val="0049502F"/>
    <w:rsid w:val="004A29A5"/>
    <w:rsid w:val="004A6461"/>
    <w:rsid w:val="004A7E15"/>
    <w:rsid w:val="004B0D86"/>
    <w:rsid w:val="004B156E"/>
    <w:rsid w:val="004B16DE"/>
    <w:rsid w:val="004B418A"/>
    <w:rsid w:val="004C3D24"/>
    <w:rsid w:val="004E0805"/>
    <w:rsid w:val="004E0EE6"/>
    <w:rsid w:val="004E259B"/>
    <w:rsid w:val="004F041B"/>
    <w:rsid w:val="004F3810"/>
    <w:rsid w:val="004F5B28"/>
    <w:rsid w:val="004F600B"/>
    <w:rsid w:val="00500D28"/>
    <w:rsid w:val="005079AC"/>
    <w:rsid w:val="00514293"/>
    <w:rsid w:val="0051513B"/>
    <w:rsid w:val="0051641E"/>
    <w:rsid w:val="0052251B"/>
    <w:rsid w:val="00535371"/>
    <w:rsid w:val="0054192F"/>
    <w:rsid w:val="005446B1"/>
    <w:rsid w:val="00546597"/>
    <w:rsid w:val="005544A6"/>
    <w:rsid w:val="00564D3B"/>
    <w:rsid w:val="005926FA"/>
    <w:rsid w:val="00594814"/>
    <w:rsid w:val="00596F75"/>
    <w:rsid w:val="00597711"/>
    <w:rsid w:val="0059798D"/>
    <w:rsid w:val="005A4085"/>
    <w:rsid w:val="005A5996"/>
    <w:rsid w:val="005A76F3"/>
    <w:rsid w:val="005B1259"/>
    <w:rsid w:val="005B7977"/>
    <w:rsid w:val="005C65A1"/>
    <w:rsid w:val="005C7375"/>
    <w:rsid w:val="005D20F1"/>
    <w:rsid w:val="005D45F8"/>
    <w:rsid w:val="005D683C"/>
    <w:rsid w:val="005F0F8A"/>
    <w:rsid w:val="005F4AE5"/>
    <w:rsid w:val="006000D8"/>
    <w:rsid w:val="006017DD"/>
    <w:rsid w:val="006035C5"/>
    <w:rsid w:val="006041B9"/>
    <w:rsid w:val="00607ED1"/>
    <w:rsid w:val="00614000"/>
    <w:rsid w:val="0063186E"/>
    <w:rsid w:val="00634DD9"/>
    <w:rsid w:val="00635EFA"/>
    <w:rsid w:val="00645EDB"/>
    <w:rsid w:val="0065039A"/>
    <w:rsid w:val="006518B3"/>
    <w:rsid w:val="00651E5D"/>
    <w:rsid w:val="00655FD8"/>
    <w:rsid w:val="00660E4E"/>
    <w:rsid w:val="006629C2"/>
    <w:rsid w:val="00666523"/>
    <w:rsid w:val="00670B87"/>
    <w:rsid w:val="00681AF7"/>
    <w:rsid w:val="006821AF"/>
    <w:rsid w:val="00690330"/>
    <w:rsid w:val="00693457"/>
    <w:rsid w:val="006A05F1"/>
    <w:rsid w:val="006A2DD1"/>
    <w:rsid w:val="006B1A53"/>
    <w:rsid w:val="006C2BCB"/>
    <w:rsid w:val="006C3767"/>
    <w:rsid w:val="006D6F87"/>
    <w:rsid w:val="006E00D0"/>
    <w:rsid w:val="006E411F"/>
    <w:rsid w:val="006E4B5C"/>
    <w:rsid w:val="006E74B6"/>
    <w:rsid w:val="006F482C"/>
    <w:rsid w:val="006F5CA1"/>
    <w:rsid w:val="0071151A"/>
    <w:rsid w:val="007126A4"/>
    <w:rsid w:val="00714A51"/>
    <w:rsid w:val="00720B4B"/>
    <w:rsid w:val="00720D01"/>
    <w:rsid w:val="00727079"/>
    <w:rsid w:val="00731233"/>
    <w:rsid w:val="00737633"/>
    <w:rsid w:val="00750168"/>
    <w:rsid w:val="00753EA3"/>
    <w:rsid w:val="00754418"/>
    <w:rsid w:val="00763AC9"/>
    <w:rsid w:val="007676F4"/>
    <w:rsid w:val="00767C64"/>
    <w:rsid w:val="00767EDA"/>
    <w:rsid w:val="00773C01"/>
    <w:rsid w:val="00783AE0"/>
    <w:rsid w:val="00786334"/>
    <w:rsid w:val="0078742D"/>
    <w:rsid w:val="007967DD"/>
    <w:rsid w:val="007A55B2"/>
    <w:rsid w:val="007A5A1B"/>
    <w:rsid w:val="007A62B9"/>
    <w:rsid w:val="007A6A20"/>
    <w:rsid w:val="007B1683"/>
    <w:rsid w:val="007B28AD"/>
    <w:rsid w:val="007F3B51"/>
    <w:rsid w:val="007F7BAB"/>
    <w:rsid w:val="00803465"/>
    <w:rsid w:val="008062A6"/>
    <w:rsid w:val="00806409"/>
    <w:rsid w:val="00813EDB"/>
    <w:rsid w:val="00820D6F"/>
    <w:rsid w:val="008263B5"/>
    <w:rsid w:val="00827D1A"/>
    <w:rsid w:val="0083255E"/>
    <w:rsid w:val="00837EAA"/>
    <w:rsid w:val="00852B6C"/>
    <w:rsid w:val="00861D70"/>
    <w:rsid w:val="00862C80"/>
    <w:rsid w:val="008739AB"/>
    <w:rsid w:val="0089761C"/>
    <w:rsid w:val="008A0BD7"/>
    <w:rsid w:val="008A5B38"/>
    <w:rsid w:val="008A716E"/>
    <w:rsid w:val="008B07F3"/>
    <w:rsid w:val="008B1B61"/>
    <w:rsid w:val="008B4600"/>
    <w:rsid w:val="008C7991"/>
    <w:rsid w:val="008C7EAD"/>
    <w:rsid w:val="008E25C2"/>
    <w:rsid w:val="008F502E"/>
    <w:rsid w:val="00900286"/>
    <w:rsid w:val="009102DE"/>
    <w:rsid w:val="00910C20"/>
    <w:rsid w:val="00927596"/>
    <w:rsid w:val="00947924"/>
    <w:rsid w:val="009502C4"/>
    <w:rsid w:val="00952A24"/>
    <w:rsid w:val="009579AD"/>
    <w:rsid w:val="009729B3"/>
    <w:rsid w:val="0098598C"/>
    <w:rsid w:val="0099304E"/>
    <w:rsid w:val="009940C2"/>
    <w:rsid w:val="00994A55"/>
    <w:rsid w:val="009951A9"/>
    <w:rsid w:val="009A32C1"/>
    <w:rsid w:val="009A524F"/>
    <w:rsid w:val="009A6235"/>
    <w:rsid w:val="009C02A1"/>
    <w:rsid w:val="009C40FC"/>
    <w:rsid w:val="009D062C"/>
    <w:rsid w:val="009F1CBC"/>
    <w:rsid w:val="00A0555A"/>
    <w:rsid w:val="00A136F9"/>
    <w:rsid w:val="00A23AC4"/>
    <w:rsid w:val="00A24473"/>
    <w:rsid w:val="00A2589D"/>
    <w:rsid w:val="00A26796"/>
    <w:rsid w:val="00A27906"/>
    <w:rsid w:val="00A361F7"/>
    <w:rsid w:val="00A43D93"/>
    <w:rsid w:val="00A5303A"/>
    <w:rsid w:val="00A55EC8"/>
    <w:rsid w:val="00A607F8"/>
    <w:rsid w:val="00A72ADF"/>
    <w:rsid w:val="00A737C8"/>
    <w:rsid w:val="00A7446C"/>
    <w:rsid w:val="00A7564F"/>
    <w:rsid w:val="00A85C26"/>
    <w:rsid w:val="00A870BA"/>
    <w:rsid w:val="00A91EA6"/>
    <w:rsid w:val="00A9321D"/>
    <w:rsid w:val="00A93F73"/>
    <w:rsid w:val="00A94488"/>
    <w:rsid w:val="00AA02D6"/>
    <w:rsid w:val="00AA0D3B"/>
    <w:rsid w:val="00AA6587"/>
    <w:rsid w:val="00AB495B"/>
    <w:rsid w:val="00AB50B0"/>
    <w:rsid w:val="00AB67E0"/>
    <w:rsid w:val="00AC0603"/>
    <w:rsid w:val="00AC0E89"/>
    <w:rsid w:val="00AC3166"/>
    <w:rsid w:val="00AE17DC"/>
    <w:rsid w:val="00AF0473"/>
    <w:rsid w:val="00AF6ED7"/>
    <w:rsid w:val="00B010E7"/>
    <w:rsid w:val="00B10DD0"/>
    <w:rsid w:val="00B15576"/>
    <w:rsid w:val="00B26366"/>
    <w:rsid w:val="00B27ABA"/>
    <w:rsid w:val="00B30389"/>
    <w:rsid w:val="00B4222D"/>
    <w:rsid w:val="00B563FF"/>
    <w:rsid w:val="00B65174"/>
    <w:rsid w:val="00B70246"/>
    <w:rsid w:val="00B71D78"/>
    <w:rsid w:val="00B75CBF"/>
    <w:rsid w:val="00B764EB"/>
    <w:rsid w:val="00B81667"/>
    <w:rsid w:val="00B84C9B"/>
    <w:rsid w:val="00B966F0"/>
    <w:rsid w:val="00B97973"/>
    <w:rsid w:val="00BA14F5"/>
    <w:rsid w:val="00BA1B1D"/>
    <w:rsid w:val="00BA453E"/>
    <w:rsid w:val="00BA4C2C"/>
    <w:rsid w:val="00BA5A4F"/>
    <w:rsid w:val="00BB112C"/>
    <w:rsid w:val="00BB37DC"/>
    <w:rsid w:val="00BC484B"/>
    <w:rsid w:val="00BD0199"/>
    <w:rsid w:val="00BD2263"/>
    <w:rsid w:val="00BD2C80"/>
    <w:rsid w:val="00C0103B"/>
    <w:rsid w:val="00C12E7E"/>
    <w:rsid w:val="00C13FF4"/>
    <w:rsid w:val="00C200DE"/>
    <w:rsid w:val="00C24D67"/>
    <w:rsid w:val="00C2728C"/>
    <w:rsid w:val="00C32781"/>
    <w:rsid w:val="00C46F3C"/>
    <w:rsid w:val="00C475BB"/>
    <w:rsid w:val="00C5252F"/>
    <w:rsid w:val="00C55EC1"/>
    <w:rsid w:val="00C620F2"/>
    <w:rsid w:val="00C638EC"/>
    <w:rsid w:val="00C70083"/>
    <w:rsid w:val="00C80798"/>
    <w:rsid w:val="00C91E19"/>
    <w:rsid w:val="00C93DA2"/>
    <w:rsid w:val="00C96BDD"/>
    <w:rsid w:val="00CA2B9D"/>
    <w:rsid w:val="00CC1438"/>
    <w:rsid w:val="00CC527E"/>
    <w:rsid w:val="00CC5A7A"/>
    <w:rsid w:val="00CD05DC"/>
    <w:rsid w:val="00CD585B"/>
    <w:rsid w:val="00CF03B6"/>
    <w:rsid w:val="00CF7565"/>
    <w:rsid w:val="00D04B9E"/>
    <w:rsid w:val="00D0767C"/>
    <w:rsid w:val="00D11338"/>
    <w:rsid w:val="00D22ED3"/>
    <w:rsid w:val="00D22F0E"/>
    <w:rsid w:val="00D26D21"/>
    <w:rsid w:val="00D33930"/>
    <w:rsid w:val="00D33CEA"/>
    <w:rsid w:val="00D40DCE"/>
    <w:rsid w:val="00D5513D"/>
    <w:rsid w:val="00D6039B"/>
    <w:rsid w:val="00D63560"/>
    <w:rsid w:val="00D667A3"/>
    <w:rsid w:val="00D679B1"/>
    <w:rsid w:val="00D72C3B"/>
    <w:rsid w:val="00D763A6"/>
    <w:rsid w:val="00D93A30"/>
    <w:rsid w:val="00D93AD3"/>
    <w:rsid w:val="00DA4B38"/>
    <w:rsid w:val="00DA6869"/>
    <w:rsid w:val="00DB5BB2"/>
    <w:rsid w:val="00DC0155"/>
    <w:rsid w:val="00DD0409"/>
    <w:rsid w:val="00DD0D76"/>
    <w:rsid w:val="00DD37A1"/>
    <w:rsid w:val="00DD7712"/>
    <w:rsid w:val="00DF5800"/>
    <w:rsid w:val="00E03A56"/>
    <w:rsid w:val="00E06C16"/>
    <w:rsid w:val="00E133C3"/>
    <w:rsid w:val="00E21233"/>
    <w:rsid w:val="00E26975"/>
    <w:rsid w:val="00E42731"/>
    <w:rsid w:val="00E44A17"/>
    <w:rsid w:val="00E47742"/>
    <w:rsid w:val="00E50E1E"/>
    <w:rsid w:val="00E51830"/>
    <w:rsid w:val="00E52901"/>
    <w:rsid w:val="00E5373A"/>
    <w:rsid w:val="00E554B3"/>
    <w:rsid w:val="00E62037"/>
    <w:rsid w:val="00E6323F"/>
    <w:rsid w:val="00E7326A"/>
    <w:rsid w:val="00E82EEF"/>
    <w:rsid w:val="00E834BF"/>
    <w:rsid w:val="00E927CC"/>
    <w:rsid w:val="00E92CBA"/>
    <w:rsid w:val="00EA0F6D"/>
    <w:rsid w:val="00ED3D9C"/>
    <w:rsid w:val="00ED5664"/>
    <w:rsid w:val="00ED61F5"/>
    <w:rsid w:val="00EF4FBC"/>
    <w:rsid w:val="00EF6326"/>
    <w:rsid w:val="00F0724C"/>
    <w:rsid w:val="00F11907"/>
    <w:rsid w:val="00F143FF"/>
    <w:rsid w:val="00F17B4E"/>
    <w:rsid w:val="00F17F2A"/>
    <w:rsid w:val="00F20378"/>
    <w:rsid w:val="00F20615"/>
    <w:rsid w:val="00F2238C"/>
    <w:rsid w:val="00F22526"/>
    <w:rsid w:val="00F26986"/>
    <w:rsid w:val="00F3139D"/>
    <w:rsid w:val="00F37C8D"/>
    <w:rsid w:val="00F45EED"/>
    <w:rsid w:val="00F4622F"/>
    <w:rsid w:val="00F467CE"/>
    <w:rsid w:val="00F50616"/>
    <w:rsid w:val="00F508D1"/>
    <w:rsid w:val="00F56022"/>
    <w:rsid w:val="00F6288A"/>
    <w:rsid w:val="00F62AF3"/>
    <w:rsid w:val="00F83487"/>
    <w:rsid w:val="00F85218"/>
    <w:rsid w:val="00FA05F8"/>
    <w:rsid w:val="00FA2162"/>
    <w:rsid w:val="00FA2AC6"/>
    <w:rsid w:val="00FA4D33"/>
    <w:rsid w:val="00FB2D5D"/>
    <w:rsid w:val="00FC0ACA"/>
    <w:rsid w:val="00FD3E27"/>
    <w:rsid w:val="00FD6B32"/>
    <w:rsid w:val="00FE2F9B"/>
    <w:rsid w:val="02985E84"/>
    <w:rsid w:val="02E66234"/>
    <w:rsid w:val="04493554"/>
    <w:rsid w:val="08A9268A"/>
    <w:rsid w:val="0A246F86"/>
    <w:rsid w:val="0AB950F5"/>
    <w:rsid w:val="0C2F2472"/>
    <w:rsid w:val="0E8547F7"/>
    <w:rsid w:val="0F791E68"/>
    <w:rsid w:val="10665F0D"/>
    <w:rsid w:val="14177C31"/>
    <w:rsid w:val="158B0E1E"/>
    <w:rsid w:val="16F87EBE"/>
    <w:rsid w:val="17025B25"/>
    <w:rsid w:val="1AD04E0B"/>
    <w:rsid w:val="1D6A21EA"/>
    <w:rsid w:val="1E455A39"/>
    <w:rsid w:val="1E67561A"/>
    <w:rsid w:val="253A6F98"/>
    <w:rsid w:val="2C967935"/>
    <w:rsid w:val="2CE91D3E"/>
    <w:rsid w:val="2F630B23"/>
    <w:rsid w:val="2FD14AB4"/>
    <w:rsid w:val="305A6DDB"/>
    <w:rsid w:val="30F526BD"/>
    <w:rsid w:val="346212CD"/>
    <w:rsid w:val="34880F47"/>
    <w:rsid w:val="35B504B1"/>
    <w:rsid w:val="39E43B1E"/>
    <w:rsid w:val="39E75F08"/>
    <w:rsid w:val="3BE75C4C"/>
    <w:rsid w:val="3EDDEFC6"/>
    <w:rsid w:val="3FB63057"/>
    <w:rsid w:val="40976EB6"/>
    <w:rsid w:val="41BF706B"/>
    <w:rsid w:val="41C717DC"/>
    <w:rsid w:val="45A27568"/>
    <w:rsid w:val="4A8D725A"/>
    <w:rsid w:val="4AEF1BDD"/>
    <w:rsid w:val="4C45016A"/>
    <w:rsid w:val="4D3E6259"/>
    <w:rsid w:val="4D753914"/>
    <w:rsid w:val="4F1A12CB"/>
    <w:rsid w:val="53C96E67"/>
    <w:rsid w:val="54006B9A"/>
    <w:rsid w:val="57E7344B"/>
    <w:rsid w:val="58A54222"/>
    <w:rsid w:val="5BEC5D6B"/>
    <w:rsid w:val="5E8352FE"/>
    <w:rsid w:val="5FF705CA"/>
    <w:rsid w:val="62E443F4"/>
    <w:rsid w:val="64634B20"/>
    <w:rsid w:val="64F05CD2"/>
    <w:rsid w:val="651C6375"/>
    <w:rsid w:val="67E570A3"/>
    <w:rsid w:val="683C658E"/>
    <w:rsid w:val="6BCE17B0"/>
    <w:rsid w:val="6E5B666B"/>
    <w:rsid w:val="6F1F1B00"/>
    <w:rsid w:val="7034536C"/>
    <w:rsid w:val="70715F0D"/>
    <w:rsid w:val="708066AA"/>
    <w:rsid w:val="72425788"/>
    <w:rsid w:val="76FF0F64"/>
    <w:rsid w:val="76FF9EBD"/>
    <w:rsid w:val="77154DC6"/>
    <w:rsid w:val="779C50F7"/>
    <w:rsid w:val="77FD1539"/>
    <w:rsid w:val="7B4F0CD6"/>
    <w:rsid w:val="7C4D3E8A"/>
    <w:rsid w:val="7D7C2CA3"/>
    <w:rsid w:val="7D8A3B5D"/>
    <w:rsid w:val="7DFFB62C"/>
    <w:rsid w:val="7F74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623351"/>
  <w15:docId w15:val="{03D2BF7F-461C-4DC2-814C-66F1ACA76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5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napToGrid/>
      <w:spacing w:after="160" w:line="259" w:lineRule="auto"/>
      <w:ind w:leftChars="400" w:left="840"/>
      <w:jc w:val="left"/>
    </w:pPr>
    <w:rPr>
      <w:rFonts w:ascii="MS Gothic" w:eastAsia="MS Gothic" w:hAnsi="MS Gothic"/>
      <w:lang w:val="en-US" w:eastAsia="zh-CN"/>
    </w:rPr>
  </w:style>
  <w:style w:type="paragraph" w:styleId="affd">
    <w:name w:val="Revision"/>
    <w:hidden/>
    <w:uiPriority w:val="99"/>
    <w:semiHidden/>
    <w:rsid w:val="004202A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2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1735</Words>
  <Characters>9891</Characters>
  <Application>Microsoft Office Word</Application>
  <DocSecurity>0</DocSecurity>
  <Lines>82</Lines>
  <Paragraphs>23</Paragraphs>
  <ScaleCrop>false</ScaleCrop>
  <Company>ZTE Corporation</Company>
  <LinksUpToDate>false</LinksUpToDate>
  <CharactersWithSpaces>11603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ZTE-Nan</cp:lastModifiedBy>
  <cp:revision>15</cp:revision>
  <cp:lastPrinted>2002-04-24T17:10:00Z</cp:lastPrinted>
  <dcterms:created xsi:type="dcterms:W3CDTF">2023-05-16T19:12:00Z</dcterms:created>
  <dcterms:modified xsi:type="dcterms:W3CDTF">2023-09-25T08:38:00Z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D572677657FC49F0972AC3F270F5CBC0</vt:lpwstr>
  </property>
</Properties>
</file>